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64E1" w14:textId="466BC52D" w:rsidR="002141D1" w:rsidRDefault="002141D1" w:rsidP="004F2CE4">
      <w:pPr>
        <w:pStyle w:val="Heading1"/>
        <w:rPr>
          <w:b/>
          <w:bCs/>
          <w:color w:val="auto"/>
        </w:rPr>
      </w:pPr>
      <w:r>
        <w:rPr>
          <w:b/>
          <w:bCs/>
          <w:noProof/>
          <w:color w:val="auto"/>
        </w:rPr>
        <w:drawing>
          <wp:inline distT="0" distB="0" distL="0" distR="0" wp14:anchorId="2F782B10" wp14:editId="3E8D8954">
            <wp:extent cx="1572895" cy="786765"/>
            <wp:effectExtent l="0" t="0" r="8255" b="0"/>
            <wp:docPr id="3" name="Picture 3" descr="Royal Hollo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oyal Hollowa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786765"/>
                    </a:xfrm>
                    <a:prstGeom prst="rect">
                      <a:avLst/>
                    </a:prstGeom>
                    <a:noFill/>
                  </pic:spPr>
                </pic:pic>
              </a:graphicData>
            </a:graphic>
          </wp:inline>
        </w:drawing>
      </w:r>
    </w:p>
    <w:p w14:paraId="72489485" w14:textId="72A8B2B7" w:rsidR="003D1D35" w:rsidRPr="00FD70BC" w:rsidRDefault="003F19B6" w:rsidP="004F2CE4">
      <w:pPr>
        <w:pStyle w:val="Heading1"/>
        <w:rPr>
          <w:rFonts w:ascii="Corbel" w:hAnsi="Corbel"/>
          <w:b/>
          <w:bCs/>
          <w:color w:val="auto"/>
        </w:rPr>
      </w:pPr>
      <w:r w:rsidRPr="00FD70BC">
        <w:rPr>
          <w:rFonts w:ascii="Corbel" w:hAnsi="Corbel"/>
          <w:b/>
          <w:bCs/>
          <w:color w:val="auto"/>
        </w:rPr>
        <w:t xml:space="preserve">Royal Holloway </w:t>
      </w:r>
      <w:r w:rsidR="0009514A" w:rsidRPr="00FD70BC">
        <w:rPr>
          <w:rFonts w:ascii="Corbel" w:hAnsi="Corbel"/>
          <w:b/>
          <w:bCs/>
          <w:color w:val="auto"/>
        </w:rPr>
        <w:t xml:space="preserve">EDI Annual </w:t>
      </w:r>
      <w:r w:rsidR="003D1D35" w:rsidRPr="00FD70BC">
        <w:rPr>
          <w:rFonts w:ascii="Corbel" w:hAnsi="Corbel"/>
          <w:b/>
          <w:bCs/>
          <w:color w:val="auto"/>
        </w:rPr>
        <w:t>R</w:t>
      </w:r>
      <w:r w:rsidR="0009514A" w:rsidRPr="00FD70BC">
        <w:rPr>
          <w:rFonts w:ascii="Corbel" w:hAnsi="Corbel"/>
          <w:b/>
          <w:bCs/>
          <w:color w:val="auto"/>
        </w:rPr>
        <w:t xml:space="preserve">eport </w:t>
      </w:r>
      <w:r w:rsidR="003E788F" w:rsidRPr="00FD70BC">
        <w:rPr>
          <w:rFonts w:ascii="Corbel" w:hAnsi="Corbel"/>
          <w:b/>
          <w:bCs/>
          <w:color w:val="auto"/>
        </w:rPr>
        <w:t>(August 2021-July 2022)</w:t>
      </w:r>
    </w:p>
    <w:p w14:paraId="7315A86B" w14:textId="77777777" w:rsidR="00AB2A9E" w:rsidRPr="00AB2A9E" w:rsidRDefault="00AB2A9E" w:rsidP="00AB2A9E"/>
    <w:p w14:paraId="20F002C9" w14:textId="66FCA6B5" w:rsidR="00AB2A9E" w:rsidRPr="002F70C3" w:rsidRDefault="00AB2A9E" w:rsidP="006E77BE">
      <w:pPr>
        <w:pStyle w:val="NoSpacing"/>
        <w:numPr>
          <w:ilvl w:val="0"/>
          <w:numId w:val="16"/>
        </w:numPr>
        <w:rPr>
          <w:rFonts w:ascii="Corbel" w:hAnsi="Corbel"/>
          <w:sz w:val="24"/>
          <w:szCs w:val="24"/>
        </w:rPr>
      </w:pPr>
      <w:r w:rsidRPr="002F70C3">
        <w:rPr>
          <w:rFonts w:ascii="Corbel" w:hAnsi="Corbel"/>
          <w:sz w:val="24"/>
          <w:szCs w:val="24"/>
        </w:rPr>
        <w:t>Introduction</w:t>
      </w:r>
    </w:p>
    <w:p w14:paraId="50CBD9B6" w14:textId="647A3BB9" w:rsidR="007E15F4" w:rsidRPr="002F70C3" w:rsidRDefault="00662691" w:rsidP="006E77BE">
      <w:pPr>
        <w:pStyle w:val="NoSpacing"/>
        <w:numPr>
          <w:ilvl w:val="1"/>
          <w:numId w:val="16"/>
        </w:numPr>
        <w:rPr>
          <w:rFonts w:ascii="Corbel" w:hAnsi="Corbel"/>
          <w:sz w:val="24"/>
          <w:szCs w:val="24"/>
        </w:rPr>
      </w:pPr>
      <w:r>
        <w:rPr>
          <w:rFonts w:ascii="Corbel" w:hAnsi="Corbel"/>
          <w:sz w:val="24"/>
          <w:szCs w:val="24"/>
        </w:rPr>
        <w:t>Diversifying our Community</w:t>
      </w:r>
    </w:p>
    <w:p w14:paraId="31662638" w14:textId="77777777" w:rsidR="00AB2A9E" w:rsidRPr="002F70C3" w:rsidRDefault="00AB2A9E" w:rsidP="006E77BE">
      <w:pPr>
        <w:pStyle w:val="NoSpacing"/>
        <w:numPr>
          <w:ilvl w:val="1"/>
          <w:numId w:val="16"/>
        </w:numPr>
        <w:rPr>
          <w:rFonts w:ascii="Corbel" w:hAnsi="Corbel"/>
          <w:sz w:val="24"/>
          <w:szCs w:val="24"/>
        </w:rPr>
      </w:pPr>
      <w:r w:rsidRPr="002F70C3">
        <w:rPr>
          <w:rFonts w:ascii="Corbel" w:hAnsi="Corbel"/>
          <w:sz w:val="24"/>
          <w:szCs w:val="24"/>
        </w:rPr>
        <w:t xml:space="preserve">Moving on from 2020/2021 </w:t>
      </w:r>
    </w:p>
    <w:p w14:paraId="71BBDFD0" w14:textId="36D5012B" w:rsidR="00AB2A9E" w:rsidRPr="002F70C3" w:rsidRDefault="00AB2A9E" w:rsidP="006E77BE">
      <w:pPr>
        <w:pStyle w:val="NoSpacing"/>
        <w:numPr>
          <w:ilvl w:val="0"/>
          <w:numId w:val="16"/>
        </w:numPr>
        <w:rPr>
          <w:rFonts w:ascii="Corbel" w:hAnsi="Corbel"/>
          <w:sz w:val="24"/>
          <w:szCs w:val="24"/>
        </w:rPr>
      </w:pPr>
      <w:r w:rsidRPr="002F70C3">
        <w:rPr>
          <w:rFonts w:ascii="Corbel" w:hAnsi="Corbel"/>
          <w:sz w:val="24"/>
          <w:szCs w:val="24"/>
        </w:rPr>
        <w:t>Our new EDI Governance and strategy</w:t>
      </w:r>
    </w:p>
    <w:p w14:paraId="249AABC2" w14:textId="116D2BFD" w:rsidR="00AB2A9E" w:rsidRPr="002F70C3" w:rsidRDefault="00AB2A9E" w:rsidP="006E77BE">
      <w:pPr>
        <w:pStyle w:val="NoSpacing"/>
        <w:numPr>
          <w:ilvl w:val="0"/>
          <w:numId w:val="16"/>
        </w:numPr>
        <w:rPr>
          <w:rFonts w:ascii="Corbel" w:hAnsi="Corbel"/>
          <w:sz w:val="24"/>
          <w:szCs w:val="24"/>
        </w:rPr>
      </w:pPr>
      <w:r w:rsidRPr="002F70C3">
        <w:rPr>
          <w:rFonts w:ascii="Corbel" w:hAnsi="Corbel"/>
          <w:sz w:val="24"/>
          <w:szCs w:val="24"/>
        </w:rPr>
        <w:t>Key areas of work and progress</w:t>
      </w:r>
    </w:p>
    <w:p w14:paraId="243D3C9D" w14:textId="3A841C46" w:rsidR="00AB2A9E" w:rsidRPr="002F70C3" w:rsidRDefault="00AB2A9E" w:rsidP="006E77BE">
      <w:pPr>
        <w:pStyle w:val="NoSpacing"/>
        <w:numPr>
          <w:ilvl w:val="1"/>
          <w:numId w:val="16"/>
        </w:numPr>
        <w:rPr>
          <w:rFonts w:ascii="Corbel" w:hAnsi="Corbel"/>
          <w:sz w:val="24"/>
          <w:szCs w:val="24"/>
        </w:rPr>
      </w:pPr>
      <w:r w:rsidRPr="002F70C3">
        <w:rPr>
          <w:rFonts w:ascii="Corbel" w:hAnsi="Corbel"/>
          <w:sz w:val="24"/>
          <w:szCs w:val="24"/>
        </w:rPr>
        <w:t>Inclusive Culture and Environment</w:t>
      </w:r>
    </w:p>
    <w:p w14:paraId="793D7148" w14:textId="26A8D64F" w:rsidR="00AB2A9E" w:rsidRPr="002F70C3" w:rsidRDefault="00AB2A9E" w:rsidP="006E77BE">
      <w:pPr>
        <w:pStyle w:val="NoSpacing"/>
        <w:numPr>
          <w:ilvl w:val="1"/>
          <w:numId w:val="16"/>
        </w:numPr>
        <w:rPr>
          <w:rFonts w:ascii="Corbel" w:hAnsi="Corbel"/>
          <w:sz w:val="24"/>
          <w:szCs w:val="24"/>
        </w:rPr>
      </w:pPr>
      <w:r w:rsidRPr="002F70C3">
        <w:rPr>
          <w:rFonts w:ascii="Corbel" w:hAnsi="Corbel"/>
          <w:sz w:val="24"/>
          <w:szCs w:val="24"/>
        </w:rPr>
        <w:t>Development and progression</w:t>
      </w:r>
    </w:p>
    <w:p w14:paraId="36325AE8" w14:textId="3D774D74" w:rsidR="00AB2A9E" w:rsidRPr="002F70C3" w:rsidRDefault="00AB2A9E" w:rsidP="006E77BE">
      <w:pPr>
        <w:pStyle w:val="NoSpacing"/>
        <w:numPr>
          <w:ilvl w:val="1"/>
          <w:numId w:val="16"/>
        </w:numPr>
        <w:rPr>
          <w:rFonts w:ascii="Corbel" w:hAnsi="Corbel"/>
          <w:sz w:val="24"/>
          <w:szCs w:val="24"/>
        </w:rPr>
      </w:pPr>
      <w:r w:rsidRPr="002F70C3">
        <w:rPr>
          <w:rFonts w:ascii="Corbel" w:hAnsi="Corbel"/>
          <w:sz w:val="24"/>
          <w:szCs w:val="24"/>
        </w:rPr>
        <w:t>Recruitment and Selection</w:t>
      </w:r>
    </w:p>
    <w:p w14:paraId="24E32CAA" w14:textId="01FB4CBD" w:rsidR="00AB2A9E" w:rsidRPr="002F70C3" w:rsidRDefault="00AB2A9E" w:rsidP="006E77BE">
      <w:pPr>
        <w:pStyle w:val="NoSpacing"/>
        <w:numPr>
          <w:ilvl w:val="1"/>
          <w:numId w:val="16"/>
        </w:numPr>
        <w:rPr>
          <w:rFonts w:ascii="Corbel" w:hAnsi="Corbel"/>
          <w:sz w:val="24"/>
          <w:szCs w:val="24"/>
        </w:rPr>
      </w:pPr>
      <w:r w:rsidRPr="002F70C3">
        <w:rPr>
          <w:rFonts w:ascii="Corbel" w:hAnsi="Corbel"/>
          <w:sz w:val="24"/>
          <w:szCs w:val="24"/>
        </w:rPr>
        <w:t>Inclusive infrastructure</w:t>
      </w:r>
    </w:p>
    <w:p w14:paraId="20BBB29F" w14:textId="5293949D" w:rsidR="00AB2A9E" w:rsidRPr="002F70C3" w:rsidRDefault="00AB2A9E" w:rsidP="006E77BE">
      <w:pPr>
        <w:pStyle w:val="NoSpacing"/>
        <w:numPr>
          <w:ilvl w:val="1"/>
          <w:numId w:val="16"/>
        </w:numPr>
        <w:rPr>
          <w:rFonts w:ascii="Corbel" w:hAnsi="Corbel"/>
          <w:sz w:val="24"/>
          <w:szCs w:val="24"/>
        </w:rPr>
      </w:pPr>
      <w:r w:rsidRPr="002F70C3">
        <w:rPr>
          <w:rFonts w:ascii="Corbel" w:hAnsi="Corbel"/>
          <w:sz w:val="24"/>
          <w:szCs w:val="24"/>
        </w:rPr>
        <w:t>External Accreditation Schemes</w:t>
      </w:r>
    </w:p>
    <w:p w14:paraId="02B92BD9" w14:textId="3AE3B4DE" w:rsidR="00AB2A9E" w:rsidRPr="002F70C3" w:rsidRDefault="00AB2A9E" w:rsidP="006E77BE">
      <w:pPr>
        <w:pStyle w:val="NoSpacing"/>
        <w:numPr>
          <w:ilvl w:val="1"/>
          <w:numId w:val="16"/>
        </w:numPr>
        <w:rPr>
          <w:rFonts w:ascii="Corbel" w:hAnsi="Corbel"/>
          <w:sz w:val="24"/>
          <w:szCs w:val="24"/>
        </w:rPr>
      </w:pPr>
      <w:r w:rsidRPr="002F70C3">
        <w:rPr>
          <w:rFonts w:ascii="Corbel" w:hAnsi="Corbel"/>
          <w:sz w:val="24"/>
          <w:szCs w:val="24"/>
        </w:rPr>
        <w:t xml:space="preserve">Our </w:t>
      </w:r>
      <w:r w:rsidR="002238A2">
        <w:rPr>
          <w:rFonts w:ascii="Corbel" w:hAnsi="Corbel"/>
          <w:sz w:val="24"/>
          <w:szCs w:val="24"/>
        </w:rPr>
        <w:t xml:space="preserve">Staff </w:t>
      </w:r>
      <w:r w:rsidRPr="002F70C3">
        <w:rPr>
          <w:rFonts w:ascii="Corbel" w:hAnsi="Corbel"/>
          <w:sz w:val="24"/>
          <w:szCs w:val="24"/>
        </w:rPr>
        <w:t>Networks (put in culture section? Or a feature?)</w:t>
      </w:r>
    </w:p>
    <w:p w14:paraId="1202BA4C" w14:textId="764AF1E9" w:rsidR="00AB2A9E" w:rsidRPr="002F70C3" w:rsidRDefault="00AB2A9E" w:rsidP="006E77BE">
      <w:pPr>
        <w:pStyle w:val="NoSpacing"/>
        <w:numPr>
          <w:ilvl w:val="0"/>
          <w:numId w:val="16"/>
        </w:numPr>
        <w:rPr>
          <w:rFonts w:ascii="Corbel" w:hAnsi="Corbel"/>
          <w:sz w:val="24"/>
          <w:szCs w:val="24"/>
        </w:rPr>
      </w:pPr>
      <w:r w:rsidRPr="002F70C3">
        <w:rPr>
          <w:rFonts w:ascii="Corbel" w:hAnsi="Corbel"/>
          <w:sz w:val="24"/>
          <w:szCs w:val="24"/>
        </w:rPr>
        <w:t>Priorities 2022-2023</w:t>
      </w:r>
    </w:p>
    <w:p w14:paraId="7340C696" w14:textId="2019B3D3" w:rsidR="001F2E7F" w:rsidRDefault="001F2E7F" w:rsidP="006E77BE">
      <w:pPr>
        <w:pStyle w:val="NoSpacing"/>
        <w:numPr>
          <w:ilvl w:val="0"/>
          <w:numId w:val="16"/>
        </w:numPr>
        <w:rPr>
          <w:rFonts w:ascii="Corbel" w:hAnsi="Corbel"/>
          <w:sz w:val="24"/>
          <w:szCs w:val="24"/>
        </w:rPr>
      </w:pPr>
      <w:r>
        <w:rPr>
          <w:rFonts w:ascii="Corbel" w:hAnsi="Corbel"/>
          <w:sz w:val="24"/>
          <w:szCs w:val="24"/>
        </w:rPr>
        <w:t>Equality, Diversity and Inclusion Data 2022</w:t>
      </w:r>
    </w:p>
    <w:p w14:paraId="061BA64C" w14:textId="7EFC5DB6" w:rsidR="00FD70BC" w:rsidRPr="002F70C3" w:rsidRDefault="00FD70BC" w:rsidP="006E77BE">
      <w:pPr>
        <w:pStyle w:val="NoSpacing"/>
        <w:numPr>
          <w:ilvl w:val="0"/>
          <w:numId w:val="16"/>
        </w:numPr>
        <w:rPr>
          <w:rFonts w:ascii="Corbel" w:hAnsi="Corbel"/>
          <w:sz w:val="24"/>
          <w:szCs w:val="24"/>
        </w:rPr>
      </w:pPr>
      <w:r>
        <w:rPr>
          <w:rFonts w:ascii="Corbel" w:hAnsi="Corbel"/>
          <w:sz w:val="24"/>
          <w:szCs w:val="24"/>
        </w:rPr>
        <w:t>Pay gap report summary</w:t>
      </w:r>
    </w:p>
    <w:p w14:paraId="3B8A3874" w14:textId="2AD77B8F" w:rsidR="00E1321F" w:rsidRDefault="00E1321F"/>
    <w:p w14:paraId="09744666" w14:textId="77777777" w:rsidR="00E1321F" w:rsidRDefault="00E1321F"/>
    <w:p w14:paraId="15CDE884" w14:textId="54B80CF0" w:rsidR="003D1D35" w:rsidRPr="00AA129D" w:rsidRDefault="00A20C44" w:rsidP="006E77BE">
      <w:pPr>
        <w:pStyle w:val="Heading2"/>
        <w:numPr>
          <w:ilvl w:val="0"/>
          <w:numId w:val="17"/>
        </w:numPr>
      </w:pPr>
      <w:r>
        <w:t>Introduction</w:t>
      </w:r>
    </w:p>
    <w:p w14:paraId="75335FCE" w14:textId="0926AC46" w:rsidR="003D1D35" w:rsidRPr="00384329" w:rsidRDefault="003D1D35">
      <w:pPr>
        <w:rPr>
          <w:rFonts w:ascii="Corbel" w:hAnsi="Corbel"/>
          <w:sz w:val="24"/>
          <w:szCs w:val="24"/>
        </w:rPr>
      </w:pPr>
      <w:r w:rsidRPr="00384329">
        <w:rPr>
          <w:rFonts w:ascii="Corbel" w:hAnsi="Corbel"/>
          <w:sz w:val="24"/>
          <w:szCs w:val="24"/>
        </w:rPr>
        <w:t>At the heart of our university 3-year strategic plan 2021 to 2024 is the aim to create an environment that fosters attitudes and behaviours that are driven by fairness and equity, innovation and freedom to explore new ideas and ways of thinking that will ultimately have a positive influence on society. The strategic plan is underpinned by our People Strategy designed to ensure our colleagues have a supportive and fulfilling place to work: a space where they feel engaged, connected and supported to grow and give their best.</w:t>
      </w:r>
    </w:p>
    <w:p w14:paraId="01A9E005" w14:textId="5CEDDE1F" w:rsidR="00953A15" w:rsidRPr="00384329" w:rsidRDefault="00953A15">
      <w:pPr>
        <w:rPr>
          <w:rFonts w:ascii="Corbel" w:hAnsi="Corbel"/>
          <w:sz w:val="24"/>
          <w:szCs w:val="24"/>
        </w:rPr>
      </w:pPr>
      <w:r w:rsidRPr="00384329">
        <w:rPr>
          <w:rFonts w:ascii="Corbel" w:hAnsi="Corbel"/>
          <w:sz w:val="24"/>
          <w:szCs w:val="24"/>
        </w:rPr>
        <w:t xml:space="preserve">We have continued to make progress across our Equality Objectives in the 2021-2022 reporting period as we have moved towards different patterns of working in our new hybrid working pilot following covid-19. </w:t>
      </w:r>
    </w:p>
    <w:p w14:paraId="3996D4A6" w14:textId="77777777" w:rsidR="007E3960" w:rsidRDefault="007E3960">
      <w:pPr>
        <w:rPr>
          <w:rFonts w:ascii="Corbel" w:hAnsi="Corbel"/>
          <w:sz w:val="24"/>
          <w:szCs w:val="24"/>
        </w:rPr>
      </w:pPr>
    </w:p>
    <w:p w14:paraId="09FC8282" w14:textId="77777777" w:rsidR="00E1321F" w:rsidRDefault="00E1321F">
      <w:pPr>
        <w:rPr>
          <w:rFonts w:ascii="Corbel" w:hAnsi="Corbel"/>
          <w:sz w:val="24"/>
          <w:szCs w:val="24"/>
        </w:rPr>
      </w:pPr>
    </w:p>
    <w:p w14:paraId="7ED44874" w14:textId="77777777" w:rsidR="00E1321F" w:rsidRDefault="00E1321F">
      <w:pPr>
        <w:rPr>
          <w:rFonts w:ascii="Corbel" w:hAnsi="Corbel"/>
          <w:sz w:val="24"/>
          <w:szCs w:val="24"/>
        </w:rPr>
      </w:pPr>
    </w:p>
    <w:p w14:paraId="7E8C97D0" w14:textId="77777777" w:rsidR="00E1321F" w:rsidRDefault="00E1321F">
      <w:pPr>
        <w:rPr>
          <w:rFonts w:ascii="Corbel" w:hAnsi="Corbel"/>
          <w:sz w:val="24"/>
          <w:szCs w:val="24"/>
        </w:rPr>
      </w:pPr>
    </w:p>
    <w:p w14:paraId="5B1BEC03" w14:textId="77777777" w:rsidR="00E1321F" w:rsidRDefault="00E1321F">
      <w:pPr>
        <w:rPr>
          <w:rFonts w:ascii="Corbel" w:hAnsi="Corbel"/>
          <w:sz w:val="24"/>
          <w:szCs w:val="24"/>
        </w:rPr>
      </w:pPr>
    </w:p>
    <w:p w14:paraId="25B13EE4" w14:textId="77777777" w:rsidR="00E1321F" w:rsidRDefault="00E1321F">
      <w:pPr>
        <w:rPr>
          <w:rFonts w:ascii="Corbel" w:hAnsi="Corbel"/>
          <w:sz w:val="24"/>
          <w:szCs w:val="24"/>
        </w:rPr>
      </w:pPr>
    </w:p>
    <w:p w14:paraId="254D92A6" w14:textId="77777777" w:rsidR="00E1321F" w:rsidRPr="00384329" w:rsidRDefault="00E1321F">
      <w:pPr>
        <w:rPr>
          <w:rFonts w:ascii="Corbel" w:hAnsi="Corbel"/>
          <w:sz w:val="24"/>
          <w:szCs w:val="24"/>
        </w:rPr>
      </w:pPr>
    </w:p>
    <w:p w14:paraId="399D440F" w14:textId="456A991C" w:rsidR="007E15F4" w:rsidRPr="00B6493E" w:rsidRDefault="007E15F4" w:rsidP="00AE6368">
      <w:pPr>
        <w:pStyle w:val="Heading3"/>
        <w:numPr>
          <w:ilvl w:val="0"/>
          <w:numId w:val="34"/>
        </w:numPr>
      </w:pPr>
      <w:r w:rsidRPr="00B6493E">
        <w:lastRenderedPageBreak/>
        <w:t>Diversifying our Community</w:t>
      </w:r>
    </w:p>
    <w:p w14:paraId="195421C9" w14:textId="77777777" w:rsidR="00820D1C" w:rsidRDefault="00820D1C" w:rsidP="007E15F4">
      <w:pPr>
        <w:rPr>
          <w:rFonts w:ascii="Corbel" w:hAnsi="Corbel"/>
          <w:sz w:val="24"/>
          <w:szCs w:val="24"/>
        </w:rPr>
      </w:pPr>
    </w:p>
    <w:tbl>
      <w:tblPr>
        <w:tblStyle w:val="TableGrid"/>
        <w:tblW w:w="0" w:type="auto"/>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4490"/>
        <w:gridCol w:w="4490"/>
      </w:tblGrid>
      <w:tr w:rsidR="00820D1C" w14:paraId="6FC5C441" w14:textId="77777777" w:rsidTr="00624BB2">
        <w:trPr>
          <w:trHeight w:val="2627"/>
        </w:trPr>
        <w:tc>
          <w:tcPr>
            <w:tcW w:w="4490" w:type="dxa"/>
          </w:tcPr>
          <w:p w14:paraId="270568AA" w14:textId="77777777" w:rsidR="00820D1C" w:rsidRPr="00BA6609" w:rsidRDefault="00820D1C" w:rsidP="00624BB2">
            <w:pPr>
              <w:rPr>
                <w:b/>
                <w:bCs/>
                <w:color w:val="002060"/>
                <w:sz w:val="28"/>
                <w:szCs w:val="28"/>
              </w:rPr>
            </w:pPr>
            <w:r w:rsidRPr="00BA6609">
              <w:rPr>
                <w:b/>
                <w:bCs/>
                <w:color w:val="002060"/>
                <w:sz w:val="28"/>
                <w:szCs w:val="28"/>
              </w:rPr>
              <w:t>Age</w:t>
            </w:r>
          </w:p>
          <w:p w14:paraId="158D05DF" w14:textId="77777777" w:rsidR="00820D1C" w:rsidRDefault="00820D1C" w:rsidP="00624BB2">
            <w:pPr>
              <w:rPr>
                <w:b/>
                <w:bCs/>
              </w:rPr>
            </w:pPr>
          </w:p>
          <w:p w14:paraId="5E26F3C2" w14:textId="77777777" w:rsidR="00820D1C" w:rsidRPr="00BB4160" w:rsidRDefault="00820D1C" w:rsidP="00624BB2">
            <w:pPr>
              <w:rPr>
                <w:sz w:val="24"/>
                <w:szCs w:val="24"/>
              </w:rPr>
            </w:pPr>
            <w:r>
              <w:rPr>
                <w:sz w:val="56"/>
                <w:szCs w:val="56"/>
              </w:rPr>
              <w:t>53.4%</w:t>
            </w:r>
            <w:r>
              <w:rPr>
                <w:sz w:val="24"/>
                <w:szCs w:val="24"/>
              </w:rPr>
              <w:t xml:space="preserve"> of colleagues were aged 31-50.</w:t>
            </w:r>
          </w:p>
          <w:p w14:paraId="176238B7" w14:textId="77777777" w:rsidR="00820D1C" w:rsidRPr="001F2924" w:rsidRDefault="00820D1C" w:rsidP="00624BB2">
            <w:pPr>
              <w:rPr>
                <w:b/>
                <w:bCs/>
              </w:rPr>
            </w:pPr>
          </w:p>
        </w:tc>
        <w:tc>
          <w:tcPr>
            <w:tcW w:w="4490" w:type="dxa"/>
          </w:tcPr>
          <w:p w14:paraId="2E2672CA" w14:textId="77777777" w:rsidR="00820D1C" w:rsidRPr="00BA6609" w:rsidRDefault="00820D1C" w:rsidP="00624BB2">
            <w:pPr>
              <w:rPr>
                <w:b/>
                <w:bCs/>
                <w:color w:val="002060"/>
                <w:sz w:val="28"/>
                <w:szCs w:val="28"/>
              </w:rPr>
            </w:pPr>
            <w:r w:rsidRPr="00BA6609">
              <w:rPr>
                <w:b/>
                <w:bCs/>
                <w:color w:val="002060"/>
                <w:sz w:val="28"/>
                <w:szCs w:val="28"/>
              </w:rPr>
              <w:t>Disability</w:t>
            </w:r>
          </w:p>
          <w:p w14:paraId="140E6C9A" w14:textId="77777777" w:rsidR="00820D1C" w:rsidRPr="00BB4160" w:rsidRDefault="00820D1C" w:rsidP="00624BB2">
            <w:pPr>
              <w:rPr>
                <w:b/>
                <w:bCs/>
                <w:color w:val="002060"/>
              </w:rPr>
            </w:pPr>
          </w:p>
          <w:p w14:paraId="086912C9" w14:textId="77777777" w:rsidR="00820D1C" w:rsidRDefault="00820D1C" w:rsidP="00624BB2">
            <w:pPr>
              <w:rPr>
                <w:sz w:val="24"/>
                <w:szCs w:val="24"/>
              </w:rPr>
            </w:pPr>
            <w:r>
              <w:rPr>
                <w:sz w:val="56"/>
                <w:szCs w:val="56"/>
              </w:rPr>
              <w:t>4.9%</w:t>
            </w:r>
            <w:r>
              <w:rPr>
                <w:sz w:val="24"/>
                <w:szCs w:val="24"/>
              </w:rPr>
              <w:t xml:space="preserve"> of colleagues declared a disability, including 4.7% of academics and 5.2% of Professional Services colleagues.</w:t>
            </w:r>
          </w:p>
          <w:p w14:paraId="42025D65" w14:textId="77777777" w:rsidR="00820D1C" w:rsidRPr="00754816" w:rsidRDefault="00820D1C" w:rsidP="00624BB2">
            <w:pPr>
              <w:rPr>
                <w:sz w:val="24"/>
                <w:szCs w:val="24"/>
              </w:rPr>
            </w:pPr>
          </w:p>
        </w:tc>
      </w:tr>
      <w:tr w:rsidR="00820D1C" w14:paraId="53C08AAA" w14:textId="77777777" w:rsidTr="00624BB2">
        <w:trPr>
          <w:trHeight w:val="4055"/>
        </w:trPr>
        <w:tc>
          <w:tcPr>
            <w:tcW w:w="4490" w:type="dxa"/>
          </w:tcPr>
          <w:p w14:paraId="1106E648" w14:textId="77777777" w:rsidR="00820D1C" w:rsidRPr="00BA6609" w:rsidRDefault="00820D1C" w:rsidP="00624BB2">
            <w:pPr>
              <w:rPr>
                <w:b/>
                <w:bCs/>
                <w:color w:val="002060"/>
                <w:sz w:val="28"/>
                <w:szCs w:val="28"/>
              </w:rPr>
            </w:pPr>
            <w:r w:rsidRPr="00BA6609">
              <w:rPr>
                <w:b/>
                <w:bCs/>
                <w:color w:val="002060"/>
                <w:sz w:val="28"/>
                <w:szCs w:val="28"/>
              </w:rPr>
              <w:t>Ethnicity</w:t>
            </w:r>
          </w:p>
          <w:p w14:paraId="50BD0497" w14:textId="77777777" w:rsidR="00820D1C" w:rsidRPr="00594F56" w:rsidRDefault="00820D1C" w:rsidP="00624BB2"/>
          <w:p w14:paraId="7E65E3AD" w14:textId="77777777" w:rsidR="00820D1C" w:rsidRPr="00614F61" w:rsidRDefault="00820D1C" w:rsidP="00624BB2">
            <w:pPr>
              <w:rPr>
                <w:sz w:val="24"/>
                <w:szCs w:val="24"/>
              </w:rPr>
            </w:pPr>
            <w:r w:rsidRPr="00594F56">
              <w:rPr>
                <w:sz w:val="56"/>
                <w:szCs w:val="56"/>
              </w:rPr>
              <w:t>19.4%</w:t>
            </w:r>
            <w:r w:rsidRPr="00594F56">
              <w:rPr>
                <w:sz w:val="24"/>
                <w:szCs w:val="24"/>
              </w:rPr>
              <w:t xml:space="preserve"> of colleagues are of a Black and global majority background (a 2% increase since 2021.)  76.7% identif</w:t>
            </w:r>
            <w:r>
              <w:rPr>
                <w:sz w:val="24"/>
                <w:szCs w:val="24"/>
              </w:rPr>
              <w:t>ied</w:t>
            </w:r>
            <w:r w:rsidRPr="00594F56">
              <w:rPr>
                <w:sz w:val="24"/>
                <w:szCs w:val="24"/>
              </w:rPr>
              <w:t xml:space="preserve"> as white and 3.9% prefer not to say.  </w:t>
            </w:r>
            <w:r w:rsidRPr="00614F61">
              <w:rPr>
                <w:sz w:val="24"/>
                <w:szCs w:val="24"/>
              </w:rPr>
              <w:t>19.2%</w:t>
            </w:r>
            <w:r>
              <w:rPr>
                <w:sz w:val="24"/>
                <w:szCs w:val="24"/>
              </w:rPr>
              <w:t xml:space="preserve"> of academics and </w:t>
            </w:r>
            <w:r w:rsidRPr="00614F61">
              <w:rPr>
                <w:sz w:val="24"/>
                <w:szCs w:val="24"/>
              </w:rPr>
              <w:t>19.6%</w:t>
            </w:r>
            <w:r>
              <w:rPr>
                <w:sz w:val="24"/>
                <w:szCs w:val="24"/>
              </w:rPr>
              <w:t xml:space="preserve"> of Professional Services colleagues identified as being of a Black and global majority background.  The largest combined ethnic group across all colleagues was Asian </w:t>
            </w:r>
            <w:r w:rsidRPr="00614F61">
              <w:rPr>
                <w:sz w:val="24"/>
                <w:szCs w:val="24"/>
              </w:rPr>
              <w:t>(9%)</w:t>
            </w:r>
            <w:r>
              <w:rPr>
                <w:sz w:val="24"/>
                <w:szCs w:val="24"/>
              </w:rPr>
              <w:t xml:space="preserve"> followed by </w:t>
            </w:r>
            <w:r w:rsidRPr="00614F61">
              <w:rPr>
                <w:sz w:val="24"/>
                <w:szCs w:val="24"/>
              </w:rPr>
              <w:t>mixed ethnicity (3.3%)</w:t>
            </w:r>
            <w:r>
              <w:rPr>
                <w:sz w:val="24"/>
                <w:szCs w:val="24"/>
              </w:rPr>
              <w:t>.</w:t>
            </w:r>
          </w:p>
        </w:tc>
        <w:tc>
          <w:tcPr>
            <w:tcW w:w="4490" w:type="dxa"/>
          </w:tcPr>
          <w:p w14:paraId="25DC6759" w14:textId="77777777" w:rsidR="00820D1C" w:rsidRPr="00BA6609" w:rsidRDefault="00820D1C" w:rsidP="00624BB2">
            <w:pPr>
              <w:rPr>
                <w:b/>
                <w:bCs/>
                <w:color w:val="002060"/>
                <w:sz w:val="28"/>
                <w:szCs w:val="28"/>
              </w:rPr>
            </w:pPr>
            <w:r w:rsidRPr="00BA6609">
              <w:rPr>
                <w:b/>
                <w:bCs/>
                <w:color w:val="002060"/>
                <w:sz w:val="28"/>
                <w:szCs w:val="28"/>
              </w:rPr>
              <w:t>Married &amp; Civil Partnership</w:t>
            </w:r>
          </w:p>
          <w:p w14:paraId="137592C8" w14:textId="77777777" w:rsidR="00820D1C" w:rsidRDefault="00820D1C" w:rsidP="00624BB2"/>
          <w:p w14:paraId="208CC725" w14:textId="77777777" w:rsidR="00820D1C" w:rsidRPr="00107357" w:rsidRDefault="00820D1C" w:rsidP="00624BB2">
            <w:pPr>
              <w:rPr>
                <w:sz w:val="24"/>
                <w:szCs w:val="24"/>
              </w:rPr>
            </w:pPr>
            <w:r>
              <w:rPr>
                <w:sz w:val="56"/>
                <w:szCs w:val="56"/>
              </w:rPr>
              <w:t>40%</w:t>
            </w:r>
            <w:r>
              <w:rPr>
                <w:sz w:val="24"/>
                <w:szCs w:val="24"/>
              </w:rPr>
              <w:t xml:space="preserve"> of colleagues were recorded as married, and 1% are in a Civil Partnership.  We have no recorded information for 20.5% of colleagues.</w:t>
            </w:r>
          </w:p>
        </w:tc>
      </w:tr>
      <w:tr w:rsidR="00820D1C" w14:paraId="69D3C331" w14:textId="77777777" w:rsidTr="00624BB2">
        <w:trPr>
          <w:trHeight w:val="3276"/>
        </w:trPr>
        <w:tc>
          <w:tcPr>
            <w:tcW w:w="4490" w:type="dxa"/>
          </w:tcPr>
          <w:p w14:paraId="1C948CC1" w14:textId="77777777" w:rsidR="00820D1C" w:rsidRPr="00BA6609" w:rsidRDefault="00820D1C" w:rsidP="00624BB2">
            <w:pPr>
              <w:rPr>
                <w:b/>
                <w:bCs/>
                <w:color w:val="002060"/>
                <w:sz w:val="28"/>
                <w:szCs w:val="28"/>
              </w:rPr>
            </w:pPr>
            <w:r w:rsidRPr="00BA6609">
              <w:rPr>
                <w:b/>
                <w:bCs/>
                <w:color w:val="002060"/>
                <w:sz w:val="28"/>
                <w:szCs w:val="28"/>
              </w:rPr>
              <w:t>Nationality</w:t>
            </w:r>
          </w:p>
          <w:p w14:paraId="09E8784C" w14:textId="77777777" w:rsidR="00820D1C" w:rsidRDefault="00820D1C" w:rsidP="00624BB2">
            <w:pPr>
              <w:rPr>
                <w:sz w:val="24"/>
                <w:szCs w:val="24"/>
              </w:rPr>
            </w:pPr>
          </w:p>
          <w:p w14:paraId="365BA738" w14:textId="77777777" w:rsidR="00820D1C" w:rsidRDefault="00820D1C" w:rsidP="00624BB2">
            <w:pPr>
              <w:rPr>
                <w:sz w:val="24"/>
                <w:szCs w:val="24"/>
              </w:rPr>
            </w:pPr>
            <w:r>
              <w:rPr>
                <w:sz w:val="56"/>
                <w:szCs w:val="56"/>
              </w:rPr>
              <w:t>25.3%</w:t>
            </w:r>
            <w:r>
              <w:rPr>
                <w:sz w:val="24"/>
                <w:szCs w:val="24"/>
              </w:rPr>
              <w:t>of colleagues are of a non-UK nationality.</w:t>
            </w:r>
          </w:p>
          <w:p w14:paraId="752ADE3E" w14:textId="77777777" w:rsidR="00820D1C" w:rsidRPr="00BB4160" w:rsidRDefault="00820D1C" w:rsidP="00624BB2">
            <w:pPr>
              <w:rPr>
                <w:sz w:val="24"/>
                <w:szCs w:val="24"/>
              </w:rPr>
            </w:pPr>
          </w:p>
        </w:tc>
        <w:tc>
          <w:tcPr>
            <w:tcW w:w="4490" w:type="dxa"/>
          </w:tcPr>
          <w:p w14:paraId="089CD4A2" w14:textId="77777777" w:rsidR="00820D1C" w:rsidRPr="00BA6609" w:rsidRDefault="00820D1C" w:rsidP="00624BB2">
            <w:pPr>
              <w:rPr>
                <w:b/>
                <w:bCs/>
                <w:color w:val="002060"/>
                <w:sz w:val="28"/>
                <w:szCs w:val="28"/>
              </w:rPr>
            </w:pPr>
            <w:r w:rsidRPr="00BA6609">
              <w:rPr>
                <w:b/>
                <w:bCs/>
                <w:color w:val="002060"/>
                <w:sz w:val="28"/>
                <w:szCs w:val="28"/>
              </w:rPr>
              <w:t>Religion and Belief</w:t>
            </w:r>
          </w:p>
          <w:p w14:paraId="0395F1BE" w14:textId="77777777" w:rsidR="00820D1C" w:rsidRPr="00BA6609" w:rsidRDefault="00820D1C" w:rsidP="00624BB2">
            <w:pPr>
              <w:rPr>
                <w:b/>
                <w:bCs/>
                <w:color w:val="002060"/>
              </w:rPr>
            </w:pPr>
          </w:p>
          <w:p w14:paraId="2A67C3EA" w14:textId="77777777" w:rsidR="00820D1C" w:rsidRDefault="00820D1C" w:rsidP="00624BB2">
            <w:r>
              <w:rPr>
                <w:sz w:val="56"/>
                <w:szCs w:val="56"/>
              </w:rPr>
              <w:t>36%</w:t>
            </w:r>
            <w:r>
              <w:rPr>
                <w:sz w:val="24"/>
                <w:szCs w:val="24"/>
              </w:rPr>
              <w:t xml:space="preserve"> of colleagues have a religion or belief.  </w:t>
            </w:r>
            <w:r w:rsidRPr="00BB4160">
              <w:rPr>
                <w:sz w:val="24"/>
                <w:szCs w:val="24"/>
              </w:rPr>
              <w:t>The largest representation was of Christian colleagues (25.3%) followed by Muslim (3.4%), Hindu (2.3%), Spiritual (1.1%), Jewish (1%), Sikh (1%)</w:t>
            </w:r>
            <w:r>
              <w:rPr>
                <w:sz w:val="24"/>
                <w:szCs w:val="24"/>
              </w:rPr>
              <w:t xml:space="preserve"> and</w:t>
            </w:r>
            <w:r w:rsidRPr="00BB4160">
              <w:rPr>
                <w:sz w:val="24"/>
                <w:szCs w:val="24"/>
              </w:rPr>
              <w:t xml:space="preserve"> Buddhist (0.7%).</w:t>
            </w:r>
          </w:p>
        </w:tc>
      </w:tr>
      <w:tr w:rsidR="00820D1C" w14:paraId="1E38F459" w14:textId="77777777" w:rsidTr="00624BB2">
        <w:trPr>
          <w:trHeight w:val="3011"/>
        </w:trPr>
        <w:tc>
          <w:tcPr>
            <w:tcW w:w="4490" w:type="dxa"/>
          </w:tcPr>
          <w:p w14:paraId="7BF4312C" w14:textId="77777777" w:rsidR="00820D1C" w:rsidRPr="00BA6609" w:rsidRDefault="00820D1C" w:rsidP="00624BB2">
            <w:pPr>
              <w:rPr>
                <w:b/>
                <w:bCs/>
                <w:color w:val="002060"/>
                <w:sz w:val="28"/>
                <w:szCs w:val="28"/>
              </w:rPr>
            </w:pPr>
            <w:r w:rsidRPr="00BA6609">
              <w:rPr>
                <w:b/>
                <w:bCs/>
                <w:color w:val="002060"/>
                <w:sz w:val="28"/>
                <w:szCs w:val="28"/>
              </w:rPr>
              <w:t>Sex</w:t>
            </w:r>
            <w:r>
              <w:rPr>
                <w:b/>
                <w:bCs/>
                <w:color w:val="002060"/>
                <w:sz w:val="28"/>
                <w:szCs w:val="28"/>
              </w:rPr>
              <w:t>*</w:t>
            </w:r>
          </w:p>
          <w:p w14:paraId="620F6748" w14:textId="77777777" w:rsidR="00820D1C" w:rsidRDefault="00820D1C" w:rsidP="00624BB2"/>
          <w:p w14:paraId="03FA3091" w14:textId="77777777" w:rsidR="00820D1C" w:rsidRDefault="00820D1C" w:rsidP="00624BB2">
            <w:pPr>
              <w:rPr>
                <w:sz w:val="24"/>
                <w:szCs w:val="24"/>
              </w:rPr>
            </w:pPr>
            <w:r w:rsidRPr="001F2924">
              <w:rPr>
                <w:sz w:val="56"/>
                <w:szCs w:val="56"/>
              </w:rPr>
              <w:t>52.5%</w:t>
            </w:r>
            <w:r>
              <w:rPr>
                <w:sz w:val="44"/>
                <w:szCs w:val="44"/>
              </w:rPr>
              <w:t xml:space="preserve"> </w:t>
            </w:r>
            <w:r>
              <w:rPr>
                <w:sz w:val="24"/>
                <w:szCs w:val="24"/>
              </w:rPr>
              <w:t>of colleagues are recorded as female.</w:t>
            </w:r>
          </w:p>
          <w:p w14:paraId="3025E45F" w14:textId="77777777" w:rsidR="00820D1C" w:rsidRDefault="00820D1C" w:rsidP="00624BB2">
            <w:pPr>
              <w:rPr>
                <w:sz w:val="24"/>
                <w:szCs w:val="24"/>
              </w:rPr>
            </w:pPr>
          </w:p>
          <w:p w14:paraId="38B6E51B" w14:textId="77777777" w:rsidR="00820D1C" w:rsidRPr="001F2924" w:rsidRDefault="00820D1C" w:rsidP="00624BB2">
            <w:pPr>
              <w:rPr>
                <w:sz w:val="24"/>
                <w:szCs w:val="24"/>
              </w:rPr>
            </w:pPr>
            <w:r>
              <w:rPr>
                <w:sz w:val="56"/>
                <w:szCs w:val="56"/>
              </w:rPr>
              <w:t xml:space="preserve">47.5% </w:t>
            </w:r>
            <w:r>
              <w:rPr>
                <w:sz w:val="24"/>
                <w:szCs w:val="24"/>
              </w:rPr>
              <w:t>of colleagues are recorded as male</w:t>
            </w:r>
          </w:p>
        </w:tc>
        <w:tc>
          <w:tcPr>
            <w:tcW w:w="4490" w:type="dxa"/>
          </w:tcPr>
          <w:p w14:paraId="5B80196B" w14:textId="77777777" w:rsidR="00820D1C" w:rsidRPr="00BA6609" w:rsidRDefault="00820D1C" w:rsidP="00624BB2">
            <w:pPr>
              <w:rPr>
                <w:b/>
                <w:bCs/>
                <w:sz w:val="28"/>
                <w:szCs w:val="28"/>
              </w:rPr>
            </w:pPr>
            <w:r w:rsidRPr="00BA6609">
              <w:rPr>
                <w:b/>
                <w:bCs/>
                <w:color w:val="002060"/>
                <w:sz w:val="28"/>
                <w:szCs w:val="28"/>
              </w:rPr>
              <w:t>Sexual Orientation</w:t>
            </w:r>
          </w:p>
          <w:p w14:paraId="5C5C0B31" w14:textId="77777777" w:rsidR="00820D1C" w:rsidRDefault="00820D1C" w:rsidP="00624BB2"/>
          <w:p w14:paraId="5226312A" w14:textId="77777777" w:rsidR="00820D1C" w:rsidRPr="00BB4160" w:rsidRDefault="00820D1C" w:rsidP="00624BB2">
            <w:pPr>
              <w:rPr>
                <w:sz w:val="24"/>
                <w:szCs w:val="24"/>
              </w:rPr>
            </w:pPr>
            <w:r>
              <w:rPr>
                <w:sz w:val="56"/>
                <w:szCs w:val="56"/>
              </w:rPr>
              <w:t>6.5%</w:t>
            </w:r>
            <w:r>
              <w:rPr>
                <w:sz w:val="24"/>
                <w:szCs w:val="24"/>
              </w:rPr>
              <w:t xml:space="preserve"> of colleagues stated that they have a minoritised sexuality (Lesbian, Gay, Bisexual or another sexuality excluding heterosexual).  This is a 0.9% rise on 2021, but our non-reporting rate remains high at 27.8%.</w:t>
            </w:r>
          </w:p>
        </w:tc>
      </w:tr>
    </w:tbl>
    <w:p w14:paraId="75531524" w14:textId="77777777" w:rsidR="00820D1C" w:rsidRDefault="00820D1C" w:rsidP="007E15F4">
      <w:pPr>
        <w:rPr>
          <w:rFonts w:ascii="Corbel" w:hAnsi="Corbel"/>
          <w:sz w:val="24"/>
          <w:szCs w:val="24"/>
        </w:rPr>
      </w:pPr>
    </w:p>
    <w:p w14:paraId="16A69F64" w14:textId="77777777" w:rsidR="00E20141" w:rsidRDefault="00E20141" w:rsidP="007E15F4">
      <w:pPr>
        <w:rPr>
          <w:rFonts w:ascii="Corbel" w:hAnsi="Corbel"/>
          <w:sz w:val="24"/>
          <w:szCs w:val="24"/>
        </w:rPr>
      </w:pPr>
    </w:p>
    <w:p w14:paraId="21FE565E" w14:textId="77777777" w:rsidR="003E5DD9" w:rsidRDefault="003E5DD9" w:rsidP="003E5DD9">
      <w:r>
        <w:rPr>
          <w:rFonts w:eastAsia="Corbel" w:cs="Corbel"/>
          <w:color w:val="000000" w:themeColor="text1"/>
          <w:sz w:val="24"/>
          <w:szCs w:val="24"/>
        </w:rPr>
        <w:t>*</w:t>
      </w:r>
      <w:r w:rsidRPr="002C1290">
        <w:rPr>
          <w:rFonts w:eastAsia="Corbel" w:cs="Corbel"/>
          <w:color w:val="000000" w:themeColor="text1"/>
          <w:sz w:val="24"/>
          <w:szCs w:val="24"/>
        </w:rPr>
        <w:t>We report on colleagues’ sex (female/male) rather than their gender (e.g. man/woman/ non-binary) as this is what the university currently collects from colleagues due to the requirement to return this information to HM Revenue and Customs, which requires legal sex information to be known for all colleagues. We recognise sex does not equate with gender and that gender is not binary, and we aspire to enhance our data collection and reporting on gender data in the future.</w:t>
      </w:r>
    </w:p>
    <w:p w14:paraId="019A4A46" w14:textId="77777777" w:rsidR="00E20141" w:rsidRDefault="00E20141" w:rsidP="007E15F4">
      <w:pPr>
        <w:rPr>
          <w:rFonts w:ascii="Corbel" w:hAnsi="Corbel"/>
          <w:sz w:val="24"/>
          <w:szCs w:val="24"/>
        </w:rPr>
      </w:pPr>
    </w:p>
    <w:p w14:paraId="6911F8D2" w14:textId="113D8EC1" w:rsidR="007E15F4" w:rsidRPr="00E26432" w:rsidRDefault="007E15F4" w:rsidP="007E15F4">
      <w:pPr>
        <w:rPr>
          <w:rFonts w:ascii="Corbel" w:hAnsi="Corbel"/>
          <w:sz w:val="24"/>
          <w:szCs w:val="24"/>
        </w:rPr>
      </w:pPr>
      <w:r w:rsidRPr="00E26432">
        <w:rPr>
          <w:rFonts w:ascii="Corbel" w:hAnsi="Corbel"/>
          <w:sz w:val="24"/>
          <w:szCs w:val="24"/>
        </w:rPr>
        <w:t>Our data is telling us some good stories but also highlights areas for further focus. Some highlights include the following:</w:t>
      </w:r>
    </w:p>
    <w:p w14:paraId="3326DF22" w14:textId="2E96B54A" w:rsidR="00E97CA1" w:rsidRPr="00E97CA1" w:rsidRDefault="007E7453" w:rsidP="00E97CA1">
      <w:p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sz w:val="24"/>
          <w:szCs w:val="24"/>
        </w:rPr>
      </w:pPr>
      <w:r>
        <w:rPr>
          <w:sz w:val="24"/>
          <w:szCs w:val="24"/>
        </w:rPr>
        <w:t>Representation</w:t>
      </w:r>
    </w:p>
    <w:p w14:paraId="718379B6" w14:textId="238E8BD3" w:rsidR="007E15F4" w:rsidRPr="00C82238" w:rsidRDefault="007E15F4" w:rsidP="007E15F4">
      <w:pPr>
        <w:pStyle w:val="ListParagraph"/>
        <w:numPr>
          <w:ilvl w:val="0"/>
          <w:numId w:val="13"/>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sz w:val="24"/>
          <w:szCs w:val="24"/>
        </w:rPr>
      </w:pPr>
      <w:r w:rsidRPr="00C82238">
        <w:rPr>
          <w:sz w:val="24"/>
          <w:szCs w:val="24"/>
        </w:rPr>
        <w:t>The proportion of our disabled staff has increased by 0.3 percentage points, though it is still lower than the sector average of 6.0%</w:t>
      </w:r>
    </w:p>
    <w:p w14:paraId="5BE12AC2" w14:textId="59C9E3F7" w:rsidR="007E15F4" w:rsidRPr="00C82238" w:rsidRDefault="007E15F4" w:rsidP="007E15F4">
      <w:pPr>
        <w:pStyle w:val="ListParagraph"/>
        <w:numPr>
          <w:ilvl w:val="0"/>
          <w:numId w:val="13"/>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sz w:val="24"/>
          <w:szCs w:val="24"/>
          <w:lang w:val="en-US"/>
        </w:rPr>
      </w:pPr>
      <w:r w:rsidRPr="00C82238">
        <w:rPr>
          <w:sz w:val="24"/>
          <w:szCs w:val="24"/>
        </w:rPr>
        <w:t>The number of staff who share that they have a</w:t>
      </w:r>
      <w:r w:rsidR="00774F65">
        <w:rPr>
          <w:sz w:val="24"/>
          <w:szCs w:val="24"/>
        </w:rPr>
        <w:t xml:space="preserve"> minoritized </w:t>
      </w:r>
      <w:r w:rsidRPr="00C82238">
        <w:rPr>
          <w:sz w:val="24"/>
          <w:szCs w:val="24"/>
        </w:rPr>
        <w:t>sexuality has</w:t>
      </w:r>
      <w:r w:rsidR="00774F65">
        <w:rPr>
          <w:sz w:val="24"/>
          <w:szCs w:val="24"/>
        </w:rPr>
        <w:t xml:space="preserve"> </w:t>
      </w:r>
      <w:r w:rsidRPr="00C82238">
        <w:rPr>
          <w:sz w:val="24"/>
          <w:szCs w:val="24"/>
        </w:rPr>
        <w:t>increased by 0.9 percentage points, and those who prefer not to declare their</w:t>
      </w:r>
      <w:r w:rsidR="00774F65">
        <w:rPr>
          <w:sz w:val="24"/>
          <w:szCs w:val="24"/>
        </w:rPr>
        <w:t xml:space="preserve"> </w:t>
      </w:r>
      <w:r w:rsidRPr="00C82238">
        <w:rPr>
          <w:sz w:val="24"/>
          <w:szCs w:val="24"/>
        </w:rPr>
        <w:t>sexual orientation has decreased by 2.1 percentage</w:t>
      </w:r>
      <w:r w:rsidR="00774F65">
        <w:rPr>
          <w:sz w:val="24"/>
          <w:szCs w:val="24"/>
        </w:rPr>
        <w:t xml:space="preserve"> </w:t>
      </w:r>
      <w:r w:rsidRPr="00C82238">
        <w:rPr>
          <w:sz w:val="24"/>
          <w:szCs w:val="24"/>
        </w:rPr>
        <w:t>points.</w:t>
      </w:r>
    </w:p>
    <w:p w14:paraId="68324731" w14:textId="2838C9F0" w:rsidR="007E15F4" w:rsidRPr="00C82238" w:rsidRDefault="007E15F4" w:rsidP="007E15F4">
      <w:pPr>
        <w:pStyle w:val="ListParagraph"/>
        <w:numPr>
          <w:ilvl w:val="0"/>
          <w:numId w:val="13"/>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sz w:val="24"/>
          <w:szCs w:val="24"/>
        </w:rPr>
      </w:pPr>
      <w:r w:rsidRPr="00C82238">
        <w:rPr>
          <w:sz w:val="24"/>
          <w:szCs w:val="24"/>
        </w:rPr>
        <w:t>There has been a</w:t>
      </w:r>
      <w:r w:rsidR="00774F65">
        <w:rPr>
          <w:sz w:val="24"/>
          <w:szCs w:val="24"/>
        </w:rPr>
        <w:t xml:space="preserve"> </w:t>
      </w:r>
      <w:r w:rsidRPr="00C82238">
        <w:rPr>
          <w:sz w:val="24"/>
          <w:szCs w:val="24"/>
        </w:rPr>
        <w:t>2 percentage</w:t>
      </w:r>
      <w:r w:rsidR="00774F65">
        <w:rPr>
          <w:sz w:val="24"/>
          <w:szCs w:val="24"/>
        </w:rPr>
        <w:t xml:space="preserve"> </w:t>
      </w:r>
      <w:r w:rsidRPr="00C82238">
        <w:rPr>
          <w:sz w:val="24"/>
          <w:szCs w:val="24"/>
        </w:rPr>
        <w:t xml:space="preserve">point increase in the number of colleagues from Black and global majority backgrounds, with the number of Asian staff increasing by 1.1 percentage points. However, our staff makeup is still not as diverse as the community we serve. </w:t>
      </w:r>
    </w:p>
    <w:p w14:paraId="6BE20029" w14:textId="77777777" w:rsidR="007E15F4" w:rsidRDefault="007E15F4" w:rsidP="007E15F4"/>
    <w:p w14:paraId="38E513E0" w14:textId="77777777" w:rsidR="007A4642" w:rsidRPr="00384329" w:rsidRDefault="007A4642">
      <w:pPr>
        <w:rPr>
          <w:rFonts w:ascii="Corbel" w:hAnsi="Corbel"/>
          <w:bCs/>
          <w:sz w:val="24"/>
          <w:szCs w:val="24"/>
        </w:rPr>
      </w:pPr>
    </w:p>
    <w:p w14:paraId="64E8FAAE" w14:textId="7816FB7A" w:rsidR="00622D32" w:rsidRPr="00384329" w:rsidRDefault="00622D32" w:rsidP="00AE6368">
      <w:pPr>
        <w:pStyle w:val="Heading3"/>
        <w:numPr>
          <w:ilvl w:val="0"/>
          <w:numId w:val="34"/>
        </w:numPr>
      </w:pPr>
      <w:r w:rsidRPr="00384329">
        <w:t>Moving on from 2020/2021</w:t>
      </w:r>
      <w:r w:rsidR="00F965B4">
        <w:t>.</w:t>
      </w:r>
    </w:p>
    <w:p w14:paraId="11695A1C" w14:textId="267B3ADE" w:rsidR="00622D32" w:rsidRDefault="00622D32" w:rsidP="00622D32">
      <w:pPr>
        <w:rPr>
          <w:rFonts w:ascii="Corbel" w:hAnsi="Corbel"/>
          <w:sz w:val="24"/>
          <w:szCs w:val="24"/>
        </w:rPr>
      </w:pPr>
      <w:r w:rsidRPr="00384329">
        <w:rPr>
          <w:rFonts w:ascii="Corbel" w:hAnsi="Corbel"/>
          <w:sz w:val="24"/>
          <w:szCs w:val="24"/>
        </w:rPr>
        <w:t xml:space="preserve">The academic year 2020-21 was underpinned by the ongoing impacts of covid-19 both globally and within our College community. The pandemic highlighted existing structural and systemic inequalities with differences in impact on different groups of people and individuals. </w:t>
      </w:r>
      <w:r w:rsidR="00384329" w:rsidRPr="00384329">
        <w:rPr>
          <w:rFonts w:ascii="Corbel" w:hAnsi="Corbel"/>
          <w:sz w:val="24"/>
          <w:szCs w:val="24"/>
        </w:rPr>
        <w:t xml:space="preserve">There was an increase in consultation activities with our staff and student communities to identify where further support may be required, including during periods of lockdown. Surveys were distributed to explore experiences working from home, with discussion sessions held with all four diversity networks to identified challenges colleagues face both working remotely and also returning to campus. </w:t>
      </w:r>
      <w:r w:rsidRPr="00384329">
        <w:rPr>
          <w:rFonts w:ascii="Corbel" w:hAnsi="Corbel"/>
          <w:sz w:val="24"/>
          <w:szCs w:val="24"/>
        </w:rPr>
        <w:t xml:space="preserve">At College level, Equality Impact Assessments focusing on ‘Working remotely’ and ‘Managing returning to Campus’, based on consultations with our staff networks and wider college members throughout 2020 and 2021, highlighted many challenges our community members face. These ranged from access requirements, caring commitments and challenges to mental health and wellbeing amongst others. Staff and students alike were faced with challenges around maintaining connection, inclusion and belonging, alongside exposure to ongoing uncertainty and the need to continually adapt to change. </w:t>
      </w:r>
    </w:p>
    <w:p w14:paraId="4DACE1A3" w14:textId="54979D85" w:rsidR="007A4642" w:rsidRPr="003E5DD9" w:rsidRDefault="00D35EC0" w:rsidP="00384329">
      <w:pPr>
        <w:rPr>
          <w:rStyle w:val="Heading2Char"/>
          <w:rFonts w:ascii="Corbel" w:eastAsiaTheme="minorHAnsi" w:hAnsi="Corbel" w:cstheme="minorBidi"/>
          <w:bCs/>
          <w:color w:val="auto"/>
          <w:sz w:val="24"/>
          <w:szCs w:val="24"/>
        </w:rPr>
      </w:pPr>
      <w:r>
        <w:rPr>
          <w:rFonts w:ascii="Corbel" w:hAnsi="Corbel"/>
          <w:sz w:val="24"/>
          <w:szCs w:val="24"/>
        </w:rPr>
        <w:t xml:space="preserve">Throughout 2021-22 we have focused on addressing these concerns, alongside </w:t>
      </w:r>
      <w:r w:rsidR="00535660">
        <w:rPr>
          <w:rFonts w:ascii="Corbel" w:hAnsi="Corbel"/>
          <w:sz w:val="24"/>
          <w:szCs w:val="24"/>
        </w:rPr>
        <w:t xml:space="preserve">establishing </w:t>
      </w:r>
      <w:r w:rsidR="00D84229">
        <w:rPr>
          <w:rFonts w:ascii="Corbel" w:hAnsi="Corbel"/>
          <w:sz w:val="24"/>
          <w:szCs w:val="24"/>
        </w:rPr>
        <w:t>a solid</w:t>
      </w:r>
      <w:r w:rsidR="00535660">
        <w:rPr>
          <w:rFonts w:ascii="Corbel" w:hAnsi="Corbel"/>
          <w:sz w:val="24"/>
          <w:szCs w:val="24"/>
        </w:rPr>
        <w:t xml:space="preserve"> </w:t>
      </w:r>
      <w:r>
        <w:rPr>
          <w:rFonts w:ascii="Corbel" w:hAnsi="Corbel"/>
          <w:sz w:val="24"/>
          <w:szCs w:val="24"/>
        </w:rPr>
        <w:t xml:space="preserve">foundation for </w:t>
      </w:r>
      <w:r w:rsidR="00FF2A28">
        <w:rPr>
          <w:rFonts w:ascii="Corbel" w:hAnsi="Corbel"/>
          <w:sz w:val="24"/>
          <w:szCs w:val="24"/>
        </w:rPr>
        <w:t>our EDI work to gain momentum</w:t>
      </w:r>
      <w:r w:rsidR="00AE0FE1">
        <w:rPr>
          <w:rFonts w:ascii="Corbel" w:hAnsi="Corbel"/>
          <w:sz w:val="24"/>
          <w:szCs w:val="24"/>
        </w:rPr>
        <w:t xml:space="preserve">. </w:t>
      </w:r>
      <w:r w:rsidR="009C533C" w:rsidRPr="00384329">
        <w:rPr>
          <w:rFonts w:ascii="Corbel" w:hAnsi="Corbel"/>
          <w:bCs/>
          <w:sz w:val="24"/>
          <w:szCs w:val="24"/>
        </w:rPr>
        <w:t>The establishment of our new EDI Governance structure in December 2021 marked the end of the 2018-2021 Equality Scheme and the start of a new approach to EDI work which is designed to accelerate change.</w:t>
      </w:r>
    </w:p>
    <w:p w14:paraId="69AA7C65" w14:textId="792413CE" w:rsidR="00C9721A" w:rsidRDefault="00F965B4" w:rsidP="00344F03">
      <w:pPr>
        <w:pStyle w:val="Heading2"/>
        <w:numPr>
          <w:ilvl w:val="0"/>
          <w:numId w:val="20"/>
        </w:numPr>
      </w:pPr>
      <w:r>
        <w:lastRenderedPageBreak/>
        <w:t xml:space="preserve">Our new </w:t>
      </w:r>
      <w:r w:rsidR="00C9721A">
        <w:t>EDI Governance and strategy</w:t>
      </w:r>
    </w:p>
    <w:p w14:paraId="18F86C1D" w14:textId="6B9FB4B4" w:rsidR="004F2CE4" w:rsidRPr="00510788" w:rsidRDefault="004F2CE4" w:rsidP="004F2CE4">
      <w:pPr>
        <w:rPr>
          <w:rFonts w:ascii="Corbel" w:hAnsi="Corbel"/>
          <w:sz w:val="24"/>
          <w:szCs w:val="24"/>
        </w:rPr>
      </w:pPr>
      <w:r w:rsidRPr="00510788">
        <w:rPr>
          <w:rFonts w:ascii="Corbel" w:hAnsi="Corbel"/>
          <w:sz w:val="24"/>
          <w:szCs w:val="24"/>
        </w:rPr>
        <w:t xml:space="preserve">In 2021 we </w:t>
      </w:r>
      <w:r w:rsidRPr="004F2CE4">
        <w:rPr>
          <w:rFonts w:ascii="Corbel" w:hAnsi="Corbel"/>
          <w:b/>
          <w:bCs/>
          <w:sz w:val="24"/>
          <w:szCs w:val="24"/>
        </w:rPr>
        <w:t>revised our EDI Governance structure</w:t>
      </w:r>
      <w:r w:rsidRPr="00510788">
        <w:rPr>
          <w:rFonts w:ascii="Corbel" w:hAnsi="Corbel"/>
          <w:sz w:val="24"/>
          <w:szCs w:val="24"/>
        </w:rPr>
        <w:t xml:space="preserve"> to maximise the impact of our EDI work</w:t>
      </w:r>
      <w:r w:rsidR="00F965B4">
        <w:rPr>
          <w:rFonts w:ascii="Corbel" w:hAnsi="Corbel"/>
          <w:sz w:val="24"/>
          <w:szCs w:val="24"/>
        </w:rPr>
        <w:t xml:space="preserve"> and</w:t>
      </w:r>
      <w:r w:rsidRPr="00510788">
        <w:rPr>
          <w:rFonts w:ascii="Corbel" w:hAnsi="Corbel"/>
          <w:sz w:val="24"/>
          <w:szCs w:val="24"/>
        </w:rPr>
        <w:t>:</w:t>
      </w:r>
    </w:p>
    <w:p w14:paraId="5A0F0171" w14:textId="38B638C9" w:rsidR="00D35EC0" w:rsidRPr="00510788" w:rsidRDefault="00F965B4" w:rsidP="00D35EC0">
      <w:pPr>
        <w:pStyle w:val="ListParagraph"/>
        <w:numPr>
          <w:ilvl w:val="0"/>
          <w:numId w:val="5"/>
        </w:numPr>
        <w:spacing w:after="160" w:line="259" w:lineRule="auto"/>
        <w:jc w:val="left"/>
        <w:rPr>
          <w:sz w:val="24"/>
          <w:szCs w:val="24"/>
        </w:rPr>
      </w:pPr>
      <w:r>
        <w:rPr>
          <w:b/>
          <w:bCs/>
          <w:sz w:val="24"/>
          <w:szCs w:val="24"/>
        </w:rPr>
        <w:t>E</w:t>
      </w:r>
      <w:r w:rsidR="00D35EC0" w:rsidRPr="00510788">
        <w:rPr>
          <w:b/>
          <w:bCs/>
          <w:sz w:val="24"/>
          <w:szCs w:val="24"/>
        </w:rPr>
        <w:t xml:space="preserve">nsure voices from our staff networks inform our EDI work </w:t>
      </w:r>
      <w:r w:rsidR="00D35EC0" w:rsidRPr="00510788">
        <w:rPr>
          <w:sz w:val="24"/>
          <w:szCs w:val="24"/>
        </w:rPr>
        <w:t xml:space="preserve">through our four Equality Groups: Race, LGBT+, Gender and Disability which have representation from all our </w:t>
      </w:r>
      <w:r w:rsidR="00D35EC0">
        <w:rPr>
          <w:sz w:val="24"/>
          <w:szCs w:val="24"/>
        </w:rPr>
        <w:t xml:space="preserve">diversity </w:t>
      </w:r>
      <w:r w:rsidR="00D35EC0" w:rsidRPr="00510788">
        <w:rPr>
          <w:sz w:val="24"/>
          <w:szCs w:val="24"/>
        </w:rPr>
        <w:t>networks.</w:t>
      </w:r>
    </w:p>
    <w:p w14:paraId="0D58532E" w14:textId="1F4B02EE" w:rsidR="004F2CE4" w:rsidRPr="00510788" w:rsidRDefault="00F965B4" w:rsidP="004F2CE4">
      <w:pPr>
        <w:pStyle w:val="ListParagraph"/>
        <w:numPr>
          <w:ilvl w:val="0"/>
          <w:numId w:val="5"/>
        </w:numPr>
        <w:spacing w:after="160" w:line="259" w:lineRule="auto"/>
        <w:jc w:val="left"/>
        <w:rPr>
          <w:sz w:val="24"/>
          <w:szCs w:val="24"/>
        </w:rPr>
      </w:pPr>
      <w:r>
        <w:rPr>
          <w:b/>
          <w:bCs/>
          <w:sz w:val="24"/>
          <w:szCs w:val="24"/>
        </w:rPr>
        <w:t>A</w:t>
      </w:r>
      <w:r w:rsidR="004F2CE4" w:rsidRPr="00510788">
        <w:rPr>
          <w:b/>
          <w:bCs/>
          <w:sz w:val="24"/>
          <w:szCs w:val="24"/>
        </w:rPr>
        <w:t>ccelerate the transition from theory to action</w:t>
      </w:r>
      <w:r w:rsidR="004F2CE4">
        <w:rPr>
          <w:b/>
          <w:bCs/>
          <w:sz w:val="24"/>
          <w:szCs w:val="24"/>
        </w:rPr>
        <w:t xml:space="preserve"> </w:t>
      </w:r>
      <w:r w:rsidR="004F2CE4" w:rsidRPr="00510788">
        <w:rPr>
          <w:sz w:val="24"/>
          <w:szCs w:val="24"/>
        </w:rPr>
        <w:t>we created four Strategy Working Groups each focusing on one of four themes identified as key areas for intervention</w:t>
      </w:r>
      <w:r w:rsidR="004F2CE4">
        <w:rPr>
          <w:sz w:val="24"/>
          <w:szCs w:val="24"/>
        </w:rPr>
        <w:t>:</w:t>
      </w:r>
      <w:r w:rsidR="004F2CE4" w:rsidRPr="00510788">
        <w:rPr>
          <w:sz w:val="24"/>
          <w:szCs w:val="24"/>
        </w:rPr>
        <w:t xml:space="preserve"> Selection and onboarding; Development and progression; Inclusive culture and environment; Inclusive infrastructure (physical and digital). </w:t>
      </w:r>
    </w:p>
    <w:p w14:paraId="107BB97F" w14:textId="75097696" w:rsidR="004F2CE4" w:rsidRPr="00510788" w:rsidRDefault="00F965B4" w:rsidP="004F2CE4">
      <w:pPr>
        <w:pStyle w:val="ListParagraph"/>
        <w:numPr>
          <w:ilvl w:val="0"/>
          <w:numId w:val="5"/>
        </w:numPr>
        <w:spacing w:after="160" w:line="259" w:lineRule="auto"/>
        <w:jc w:val="left"/>
        <w:rPr>
          <w:sz w:val="24"/>
          <w:szCs w:val="24"/>
        </w:rPr>
      </w:pPr>
      <w:r>
        <w:rPr>
          <w:b/>
          <w:bCs/>
          <w:sz w:val="24"/>
          <w:szCs w:val="24"/>
        </w:rPr>
        <w:t>D</w:t>
      </w:r>
      <w:r w:rsidR="004F2CE4" w:rsidRPr="00510788">
        <w:rPr>
          <w:b/>
          <w:bCs/>
          <w:sz w:val="24"/>
          <w:szCs w:val="24"/>
        </w:rPr>
        <w:t>evelop a structure that can consider issues from an intersectional perspective</w:t>
      </w:r>
      <w:r w:rsidR="004F2CE4" w:rsidRPr="00510788">
        <w:rPr>
          <w:sz w:val="24"/>
          <w:szCs w:val="24"/>
        </w:rPr>
        <w:t xml:space="preserve"> and a perspective of lived experience, comprising diverse representation at all levels of the structure.</w:t>
      </w:r>
    </w:p>
    <w:p w14:paraId="2FDDA834" w14:textId="263595C6" w:rsidR="004F2CE4" w:rsidRPr="00D35EC0" w:rsidRDefault="00F965B4" w:rsidP="004F2CE4">
      <w:pPr>
        <w:pStyle w:val="ListParagraph"/>
        <w:numPr>
          <w:ilvl w:val="0"/>
          <w:numId w:val="5"/>
        </w:numPr>
        <w:spacing w:after="160" w:line="259" w:lineRule="auto"/>
        <w:jc w:val="left"/>
        <w:rPr>
          <w:b/>
          <w:bCs/>
          <w:sz w:val="24"/>
          <w:szCs w:val="24"/>
        </w:rPr>
      </w:pPr>
      <w:r>
        <w:rPr>
          <w:b/>
          <w:bCs/>
          <w:sz w:val="24"/>
          <w:szCs w:val="24"/>
        </w:rPr>
        <w:t>S</w:t>
      </w:r>
      <w:r w:rsidR="004F2CE4" w:rsidRPr="00510788">
        <w:rPr>
          <w:b/>
          <w:bCs/>
          <w:sz w:val="24"/>
          <w:szCs w:val="24"/>
        </w:rPr>
        <w:t xml:space="preserve">trengthen collaboration between staff and students </w:t>
      </w:r>
      <w:r w:rsidR="004F2CE4" w:rsidRPr="00510788">
        <w:rPr>
          <w:sz w:val="24"/>
          <w:szCs w:val="24"/>
        </w:rPr>
        <w:t xml:space="preserve">through including student </w:t>
      </w:r>
      <w:r w:rsidR="004F2CE4">
        <w:rPr>
          <w:sz w:val="24"/>
          <w:szCs w:val="24"/>
        </w:rPr>
        <w:t xml:space="preserve">voices </w:t>
      </w:r>
      <w:r w:rsidR="004F2CE4" w:rsidRPr="00510788">
        <w:rPr>
          <w:sz w:val="24"/>
          <w:szCs w:val="24"/>
        </w:rPr>
        <w:t xml:space="preserve">on central EDI committees and working groups. </w:t>
      </w:r>
    </w:p>
    <w:p w14:paraId="12E0A151" w14:textId="77777777" w:rsidR="004F2CE4" w:rsidRPr="00510788" w:rsidRDefault="004F2CE4" w:rsidP="004F2CE4">
      <w:pPr>
        <w:rPr>
          <w:rFonts w:ascii="Corbel" w:hAnsi="Corbel"/>
          <w:b/>
          <w:sz w:val="24"/>
          <w:szCs w:val="24"/>
          <w:u w:val="single"/>
        </w:rPr>
      </w:pPr>
      <w:r w:rsidRPr="00510788">
        <w:rPr>
          <w:noProof/>
          <w:sz w:val="24"/>
          <w:szCs w:val="24"/>
        </w:rPr>
        <w:drawing>
          <wp:inline distT="0" distB="0" distL="0" distR="0" wp14:anchorId="6D5C7DC2" wp14:editId="10516341">
            <wp:extent cx="5715000" cy="3219450"/>
            <wp:effectExtent l="0" t="0" r="0" b="0"/>
            <wp:docPr id="1" name="Picture 1" descr="The diagranne depicts the EDI governance structure. The Executive Board sits a the top of the structure.  Both the EDI Committee and the Inclusive Education Board report to the Executive board. The following groups report to the EDI Committee: the Equality Groups and the Strategy Working Groups.  The four Staff Diversity Networks feed into the Equality Groups. The Student Collectives feed into the Equality Groups and into the Inclusive Education board.  &#10;&#10;We have four Equality groups: Disability equality, LGBT+ equality, race equality and gender equality.&#10;We have four strategy working groups: inclusive culture and environment, inclusive infrastructure, selection and onboarding, development and prog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he diagranne depicts the EDI governance structure. The Executive Board sits a the top of the structure.  Both the EDI Committee and the Inclusive Education Board report to the Executive board. The following groups report to the EDI Committee: the Equality Groups and the Strategy Working Groups.  The four Staff Diversity Networks feed into the Equality Groups. The Student Collectives feed into the Equality Groups and into the Inclusive Education board.  &#10;&#10;We have four Equality groups: Disability equality, LGBT+ equality, race equality and gender equality.&#10;We have four strategy working groups: inclusive culture and environment, inclusive infrastructure, selection and onboarding, development and progression. "/>
                    <pic:cNvPicPr/>
                  </pic:nvPicPr>
                  <pic:blipFill>
                    <a:blip r:embed="rId8">
                      <a:extLst>
                        <a:ext uri="{96DAC541-7B7A-43D3-8B79-37D633B846F1}">
                          <asvg:svgBlip xmlns:asvg="http://schemas.microsoft.com/office/drawing/2016/SVG/main" r:embed="rId9"/>
                        </a:ext>
                      </a:extLst>
                    </a:blip>
                    <a:stretch>
                      <a:fillRect/>
                    </a:stretch>
                  </pic:blipFill>
                  <pic:spPr>
                    <a:xfrm>
                      <a:off x="0" y="0"/>
                      <a:ext cx="5715000" cy="3219450"/>
                    </a:xfrm>
                    <a:prstGeom prst="rect">
                      <a:avLst/>
                    </a:prstGeom>
                  </pic:spPr>
                </pic:pic>
              </a:graphicData>
            </a:graphic>
          </wp:inline>
        </w:drawing>
      </w:r>
    </w:p>
    <w:p w14:paraId="4E99624A" w14:textId="49BDA15E" w:rsidR="004F2CE4" w:rsidRDefault="00F965B4" w:rsidP="004F2CE4">
      <w:pPr>
        <w:pStyle w:val="Heading2"/>
        <w:ind w:left="360"/>
        <w:rPr>
          <w:b/>
          <w:bCs/>
          <w:color w:val="auto"/>
          <w:sz w:val="24"/>
          <w:szCs w:val="24"/>
        </w:rPr>
      </w:pPr>
      <w:r w:rsidRPr="00510788">
        <w:rPr>
          <w:rFonts w:ascii="Corbel" w:hAnsi="Corbel"/>
          <w:bCs/>
          <w:sz w:val="24"/>
          <w:szCs w:val="24"/>
        </w:rPr>
        <w:t>Royal Holloway’s Equality, Diversity and Inclusion Governance Structure.</w:t>
      </w:r>
    </w:p>
    <w:p w14:paraId="41FDA19C" w14:textId="77777777" w:rsidR="00D35EC0" w:rsidRDefault="00D35EC0" w:rsidP="00E52AA0">
      <w:pPr>
        <w:rPr>
          <w:rFonts w:ascii="Corbel" w:hAnsi="Corbel"/>
          <w:sz w:val="24"/>
          <w:szCs w:val="24"/>
        </w:rPr>
      </w:pPr>
    </w:p>
    <w:p w14:paraId="56C2AF96" w14:textId="77777777" w:rsidR="00F965B4" w:rsidRDefault="00F965B4" w:rsidP="00E52AA0">
      <w:pPr>
        <w:rPr>
          <w:rFonts w:ascii="Corbel" w:hAnsi="Corbel"/>
          <w:sz w:val="24"/>
          <w:szCs w:val="24"/>
        </w:rPr>
      </w:pPr>
    </w:p>
    <w:p w14:paraId="782FBFA4" w14:textId="68005B59" w:rsidR="004F2CE4" w:rsidRDefault="00E52AA0" w:rsidP="00E52AA0">
      <w:pPr>
        <w:rPr>
          <w:rFonts w:ascii="Corbel" w:hAnsi="Corbel"/>
          <w:sz w:val="24"/>
          <w:szCs w:val="24"/>
        </w:rPr>
      </w:pPr>
      <w:r w:rsidRPr="00F965B4">
        <w:rPr>
          <w:rFonts w:ascii="Corbel" w:hAnsi="Corbel"/>
          <w:b/>
          <w:bCs/>
          <w:sz w:val="24"/>
          <w:szCs w:val="24"/>
          <w:shd w:val="clear" w:color="auto" w:fill="FBE4D5" w:themeFill="accent2" w:themeFillTint="33"/>
        </w:rPr>
        <w:t>Our revised</w:t>
      </w:r>
      <w:r w:rsidR="004F2CE4" w:rsidRPr="00F965B4">
        <w:rPr>
          <w:rFonts w:ascii="Corbel" w:hAnsi="Corbel"/>
          <w:b/>
          <w:bCs/>
          <w:sz w:val="24"/>
          <w:szCs w:val="24"/>
          <w:shd w:val="clear" w:color="auto" w:fill="FBE4D5" w:themeFill="accent2" w:themeFillTint="33"/>
        </w:rPr>
        <w:t xml:space="preserve"> EDI</w:t>
      </w:r>
      <w:r w:rsidRPr="00F965B4">
        <w:rPr>
          <w:rFonts w:ascii="Corbel" w:hAnsi="Corbel"/>
          <w:b/>
          <w:bCs/>
          <w:sz w:val="24"/>
          <w:szCs w:val="24"/>
          <w:shd w:val="clear" w:color="auto" w:fill="FBE4D5" w:themeFill="accent2" w:themeFillTint="33"/>
        </w:rPr>
        <w:t xml:space="preserve"> Committee</w:t>
      </w:r>
      <w:r w:rsidRPr="00E52AA0">
        <w:rPr>
          <w:rFonts w:ascii="Corbel" w:hAnsi="Corbel"/>
          <w:sz w:val="24"/>
          <w:szCs w:val="24"/>
        </w:rPr>
        <w:t xml:space="preserve">, </w:t>
      </w:r>
      <w:r w:rsidR="006E01BA" w:rsidRPr="00E52AA0">
        <w:rPr>
          <w:rFonts w:ascii="Corbel" w:hAnsi="Corbel"/>
          <w:sz w:val="24"/>
          <w:szCs w:val="24"/>
        </w:rPr>
        <w:t>chaired by Senior V</w:t>
      </w:r>
      <w:r w:rsidR="00C01837" w:rsidRPr="00E52AA0">
        <w:rPr>
          <w:rFonts w:ascii="Corbel" w:hAnsi="Corbel"/>
          <w:sz w:val="24"/>
          <w:szCs w:val="24"/>
        </w:rPr>
        <w:t xml:space="preserve">ice-Principal </w:t>
      </w:r>
      <w:r w:rsidR="006E01BA" w:rsidRPr="00E52AA0">
        <w:rPr>
          <w:rFonts w:ascii="Corbel" w:hAnsi="Corbel"/>
          <w:sz w:val="24"/>
          <w:szCs w:val="24"/>
        </w:rPr>
        <w:t xml:space="preserve">Professor Tracy Bhamra, </w:t>
      </w:r>
      <w:r w:rsidR="00E47DFA" w:rsidRPr="00E52AA0">
        <w:rPr>
          <w:rFonts w:ascii="Corbel" w:hAnsi="Corbel"/>
          <w:sz w:val="24"/>
          <w:szCs w:val="24"/>
        </w:rPr>
        <w:t>launch</w:t>
      </w:r>
      <w:r w:rsidR="00E47DFA" w:rsidRPr="00AA129D">
        <w:rPr>
          <w:rFonts w:ascii="Corbel" w:hAnsi="Corbel"/>
          <w:sz w:val="24"/>
          <w:szCs w:val="24"/>
        </w:rPr>
        <w:t xml:space="preserve">ed in December 2021 and comprises colleagues from across the </w:t>
      </w:r>
      <w:r w:rsidR="00C01837">
        <w:rPr>
          <w:rFonts w:ascii="Corbel" w:hAnsi="Corbel"/>
          <w:sz w:val="24"/>
          <w:szCs w:val="24"/>
        </w:rPr>
        <w:t>College</w:t>
      </w:r>
      <w:r w:rsidR="00E47DFA" w:rsidRPr="00AA129D">
        <w:rPr>
          <w:rFonts w:ascii="Corbel" w:hAnsi="Corbel"/>
          <w:sz w:val="24"/>
          <w:szCs w:val="24"/>
        </w:rPr>
        <w:t xml:space="preserve"> including from key professional services, diversity network leads, equality group chairs and EDI School Directors who </w:t>
      </w:r>
      <w:r w:rsidR="00C01837">
        <w:rPr>
          <w:rFonts w:ascii="Corbel" w:hAnsi="Corbel"/>
          <w:sz w:val="24"/>
          <w:szCs w:val="24"/>
        </w:rPr>
        <w:t xml:space="preserve">each </w:t>
      </w:r>
      <w:r w:rsidR="00E47DFA" w:rsidRPr="00AA129D">
        <w:rPr>
          <w:rFonts w:ascii="Corbel" w:hAnsi="Corbel"/>
          <w:sz w:val="24"/>
          <w:szCs w:val="24"/>
        </w:rPr>
        <w:t>lead</w:t>
      </w:r>
      <w:r w:rsidR="00C01837">
        <w:rPr>
          <w:rFonts w:ascii="Corbel" w:hAnsi="Corbel"/>
          <w:sz w:val="24"/>
          <w:szCs w:val="24"/>
        </w:rPr>
        <w:t xml:space="preserve"> one of our four</w:t>
      </w:r>
      <w:r w:rsidR="00E47DFA" w:rsidRPr="00AA129D">
        <w:rPr>
          <w:rFonts w:ascii="Corbel" w:hAnsi="Corbel"/>
          <w:sz w:val="24"/>
          <w:szCs w:val="24"/>
        </w:rPr>
        <w:t xml:space="preserve"> central equality strategy working groups</w:t>
      </w:r>
      <w:r w:rsidR="004F2CE4">
        <w:rPr>
          <w:rFonts w:ascii="Corbel" w:hAnsi="Corbel"/>
          <w:sz w:val="24"/>
          <w:szCs w:val="24"/>
        </w:rPr>
        <w:t xml:space="preserve">. </w:t>
      </w:r>
      <w:r w:rsidR="00F965B4">
        <w:rPr>
          <w:rFonts w:ascii="Corbel" w:hAnsi="Corbel"/>
          <w:sz w:val="24"/>
          <w:szCs w:val="24"/>
        </w:rPr>
        <w:t xml:space="preserve">In May 2022 </w:t>
      </w:r>
      <w:r w:rsidR="00F965B4">
        <w:rPr>
          <w:rFonts w:ascii="Corbel" w:hAnsi="Corbel"/>
          <w:sz w:val="24"/>
          <w:szCs w:val="24"/>
          <w:shd w:val="clear" w:color="auto" w:fill="FFFFFF" w:themeFill="background1"/>
        </w:rPr>
        <w:t>t</w:t>
      </w:r>
      <w:r w:rsidR="00F965B4" w:rsidRPr="00F965B4">
        <w:rPr>
          <w:rFonts w:ascii="Corbel" w:hAnsi="Corbel"/>
          <w:sz w:val="24"/>
          <w:szCs w:val="24"/>
          <w:shd w:val="clear" w:color="auto" w:fill="FFFFFF" w:themeFill="background1"/>
        </w:rPr>
        <w:t>he</w:t>
      </w:r>
      <w:r w:rsidR="00F965B4">
        <w:rPr>
          <w:rFonts w:ascii="Corbel" w:hAnsi="Corbel"/>
          <w:sz w:val="24"/>
          <w:szCs w:val="24"/>
          <w:shd w:val="clear" w:color="auto" w:fill="FFFFFF" w:themeFill="background1"/>
        </w:rPr>
        <w:t xml:space="preserve"> </w:t>
      </w:r>
      <w:r w:rsidR="00F965B4" w:rsidRPr="00F965B4">
        <w:rPr>
          <w:rFonts w:ascii="Corbel" w:hAnsi="Corbel"/>
          <w:sz w:val="24"/>
          <w:szCs w:val="24"/>
          <w:shd w:val="clear" w:color="auto" w:fill="FFFFFF" w:themeFill="background1"/>
        </w:rPr>
        <w:t>Committee discussed the importance of articulating of what we see as our EDI values a</w:t>
      </w:r>
      <w:r w:rsidR="00F965B4" w:rsidRPr="00F82EA8">
        <w:rPr>
          <w:rFonts w:ascii="Corbel" w:hAnsi="Corbel"/>
          <w:sz w:val="24"/>
          <w:szCs w:val="24"/>
        </w:rPr>
        <w:t>s an institution. These values will be our cultural aspirations: qualities and standards that are a basis for behaviour across all levels of the College.</w:t>
      </w:r>
    </w:p>
    <w:p w14:paraId="7430A5F1" w14:textId="41EEE53D" w:rsidR="00F82EA8" w:rsidRDefault="00F965B4" w:rsidP="00E52AA0">
      <w:pPr>
        <w:rPr>
          <w:rFonts w:ascii="Corbel" w:hAnsi="Corbel"/>
          <w:bCs/>
          <w:sz w:val="24"/>
          <w:szCs w:val="24"/>
        </w:rPr>
      </w:pPr>
      <w:r w:rsidRPr="00F965B4">
        <w:rPr>
          <w:rFonts w:ascii="Corbel" w:hAnsi="Corbel"/>
          <w:b/>
          <w:sz w:val="24"/>
          <w:szCs w:val="24"/>
          <w:shd w:val="clear" w:color="auto" w:fill="FBE4D5" w:themeFill="accent2" w:themeFillTint="33"/>
        </w:rPr>
        <w:lastRenderedPageBreak/>
        <w:t>O</w:t>
      </w:r>
      <w:r w:rsidR="00F82EA8" w:rsidRPr="00F965B4">
        <w:rPr>
          <w:rFonts w:ascii="Corbel" w:hAnsi="Corbel"/>
          <w:b/>
          <w:sz w:val="24"/>
          <w:szCs w:val="24"/>
          <w:shd w:val="clear" w:color="auto" w:fill="FBE4D5" w:themeFill="accent2" w:themeFillTint="33"/>
        </w:rPr>
        <w:t>ur new Equality Strategy Working groups</w:t>
      </w:r>
      <w:r w:rsidR="00F82EA8" w:rsidRPr="00F82EA8">
        <w:rPr>
          <w:rFonts w:ascii="Corbel" w:hAnsi="Corbel"/>
          <w:b/>
          <w:sz w:val="24"/>
          <w:szCs w:val="24"/>
        </w:rPr>
        <w:t xml:space="preserve"> </w:t>
      </w:r>
      <w:r w:rsidR="00F82EA8" w:rsidRPr="00F965B4">
        <w:rPr>
          <w:rFonts w:ascii="Corbel" w:hAnsi="Corbel"/>
          <w:bCs/>
          <w:sz w:val="24"/>
          <w:szCs w:val="24"/>
        </w:rPr>
        <w:t>had their first meetings</w:t>
      </w:r>
      <w:r w:rsidRPr="00F965B4">
        <w:rPr>
          <w:rFonts w:ascii="Corbel" w:hAnsi="Corbel"/>
          <w:bCs/>
          <w:sz w:val="24"/>
          <w:szCs w:val="24"/>
        </w:rPr>
        <w:t xml:space="preserve"> </w:t>
      </w:r>
      <w:r w:rsidRPr="00AA129D">
        <w:rPr>
          <w:rFonts w:ascii="Corbel" w:hAnsi="Corbel"/>
          <w:bCs/>
          <w:sz w:val="24"/>
          <w:szCs w:val="24"/>
        </w:rPr>
        <w:t>In the Spring 2022</w:t>
      </w:r>
      <w:r w:rsidR="00F82EA8">
        <w:rPr>
          <w:rFonts w:ascii="Corbel" w:hAnsi="Corbel"/>
          <w:bCs/>
          <w:sz w:val="24"/>
          <w:szCs w:val="24"/>
        </w:rPr>
        <w:t xml:space="preserve">, marking a </w:t>
      </w:r>
      <w:r w:rsidR="00F82EA8" w:rsidRPr="00AA129D">
        <w:rPr>
          <w:rFonts w:ascii="Corbel" w:hAnsi="Corbel"/>
          <w:bCs/>
          <w:sz w:val="24"/>
          <w:szCs w:val="24"/>
        </w:rPr>
        <w:t>shift from theory and discussion to action</w:t>
      </w:r>
      <w:r w:rsidR="00F82EA8">
        <w:rPr>
          <w:rFonts w:ascii="Corbel" w:hAnsi="Corbel"/>
          <w:bCs/>
          <w:sz w:val="24"/>
          <w:szCs w:val="24"/>
        </w:rPr>
        <w:t xml:space="preserve"> and implementation. During these initial meetings, colleagues discussed priorities and corresponding actions for each of their groups, as identified through extensive consultation including with our diversity networks. These priorities and actions are currently being implemented across the College within our professional services and will also be incorporated into our upcoming EDI Framework 2023 to 2028.</w:t>
      </w:r>
    </w:p>
    <w:p w14:paraId="5F7615B1" w14:textId="77777777" w:rsidR="00CE00AE" w:rsidRPr="00F82EA8" w:rsidRDefault="00CE00AE" w:rsidP="00E52AA0">
      <w:pPr>
        <w:rPr>
          <w:rFonts w:ascii="Corbel" w:hAnsi="Corbel"/>
          <w:bCs/>
          <w:sz w:val="24"/>
          <w:szCs w:val="24"/>
        </w:rPr>
      </w:pPr>
    </w:p>
    <w:p w14:paraId="1AAE1A62" w14:textId="52E29AD6" w:rsidR="004F2CE4" w:rsidRDefault="00F965B4" w:rsidP="004F2CE4">
      <w:pPr>
        <w:rPr>
          <w:rFonts w:ascii="Corbel" w:hAnsi="Corbel"/>
          <w:sz w:val="24"/>
          <w:szCs w:val="24"/>
        </w:rPr>
      </w:pPr>
      <w:r>
        <w:rPr>
          <w:rFonts w:ascii="Corbel" w:hAnsi="Corbel"/>
          <w:b/>
          <w:bCs/>
          <w:sz w:val="24"/>
          <w:szCs w:val="24"/>
          <w:shd w:val="clear" w:color="auto" w:fill="FBE4D5" w:themeFill="accent2" w:themeFillTint="33"/>
        </w:rPr>
        <w:t xml:space="preserve">We have established a new </w:t>
      </w:r>
      <w:r w:rsidR="004F2CE4" w:rsidRPr="00F965B4">
        <w:rPr>
          <w:rFonts w:ascii="Corbel" w:hAnsi="Corbel"/>
          <w:b/>
          <w:bCs/>
          <w:sz w:val="24"/>
          <w:szCs w:val="24"/>
          <w:shd w:val="clear" w:color="auto" w:fill="FBE4D5" w:themeFill="accent2" w:themeFillTint="33"/>
        </w:rPr>
        <w:t>working group to focus on develop</w:t>
      </w:r>
      <w:r>
        <w:rPr>
          <w:rFonts w:ascii="Corbel" w:hAnsi="Corbel"/>
          <w:b/>
          <w:bCs/>
          <w:sz w:val="24"/>
          <w:szCs w:val="24"/>
          <w:shd w:val="clear" w:color="auto" w:fill="FBE4D5" w:themeFill="accent2" w:themeFillTint="33"/>
        </w:rPr>
        <w:t>ing</w:t>
      </w:r>
      <w:r w:rsidR="004F2CE4" w:rsidRPr="00F965B4">
        <w:rPr>
          <w:rFonts w:ascii="Corbel" w:hAnsi="Corbel"/>
          <w:b/>
          <w:bCs/>
          <w:sz w:val="24"/>
          <w:szCs w:val="24"/>
          <w:shd w:val="clear" w:color="auto" w:fill="FBE4D5" w:themeFill="accent2" w:themeFillTint="33"/>
        </w:rPr>
        <w:t xml:space="preserve"> our new EDI framework</w:t>
      </w:r>
      <w:r w:rsidR="004F2CE4" w:rsidRPr="00F965B4">
        <w:rPr>
          <w:rFonts w:ascii="Corbel" w:hAnsi="Corbel"/>
          <w:sz w:val="24"/>
          <w:szCs w:val="24"/>
          <w:shd w:val="clear" w:color="auto" w:fill="FBE4D5" w:themeFill="accent2" w:themeFillTint="33"/>
        </w:rPr>
        <w:t xml:space="preserve"> </w:t>
      </w:r>
      <w:r w:rsidR="004F2CE4">
        <w:rPr>
          <w:rFonts w:ascii="Corbel" w:hAnsi="Corbel"/>
          <w:sz w:val="24"/>
          <w:szCs w:val="24"/>
        </w:rPr>
        <w:t>which will launch next year</w:t>
      </w:r>
      <w:r w:rsidR="004F2CE4" w:rsidRPr="00AA129D">
        <w:rPr>
          <w:rFonts w:ascii="Corbel" w:hAnsi="Corbel"/>
          <w:sz w:val="24"/>
          <w:szCs w:val="24"/>
        </w:rPr>
        <w:t xml:space="preserve">. </w:t>
      </w:r>
      <w:r w:rsidR="004F2CE4">
        <w:rPr>
          <w:rFonts w:ascii="Corbel" w:hAnsi="Corbel"/>
          <w:sz w:val="24"/>
          <w:szCs w:val="24"/>
        </w:rPr>
        <w:t>Our new framework will be</w:t>
      </w:r>
      <w:r w:rsidR="004F2CE4" w:rsidRPr="00AA129D">
        <w:rPr>
          <w:rFonts w:ascii="Corbel" w:hAnsi="Corbel"/>
          <w:sz w:val="24"/>
          <w:szCs w:val="24"/>
        </w:rPr>
        <w:t xml:space="preserve"> rooted in a comprehensive analysis of quantitative and qualitative data sources and discussions around these, including findings from Pulse surveys, discussions with our diversity networks</w:t>
      </w:r>
      <w:r w:rsidR="004F2CE4">
        <w:rPr>
          <w:rFonts w:ascii="Corbel" w:hAnsi="Corbel"/>
          <w:sz w:val="24"/>
          <w:szCs w:val="24"/>
        </w:rPr>
        <w:t xml:space="preserve"> </w:t>
      </w:r>
      <w:r w:rsidR="004F2CE4" w:rsidRPr="00AA129D">
        <w:rPr>
          <w:rFonts w:ascii="Corbel" w:hAnsi="Corbel"/>
          <w:sz w:val="24"/>
          <w:szCs w:val="24"/>
        </w:rPr>
        <w:t xml:space="preserve"> and</w:t>
      </w:r>
      <w:r w:rsidR="004F2CE4">
        <w:rPr>
          <w:rFonts w:ascii="Corbel" w:hAnsi="Corbel"/>
          <w:sz w:val="24"/>
          <w:szCs w:val="24"/>
        </w:rPr>
        <w:t xml:space="preserve"> data from our</w:t>
      </w:r>
      <w:r w:rsidR="004F2CE4" w:rsidRPr="00AA129D">
        <w:rPr>
          <w:rFonts w:ascii="Corbel" w:hAnsi="Corbel"/>
          <w:sz w:val="24"/>
          <w:szCs w:val="24"/>
        </w:rPr>
        <w:t xml:space="preserve"> gender, disability and ethnicity pay gaps. </w:t>
      </w:r>
      <w:r w:rsidR="00F82EA8">
        <w:rPr>
          <w:rFonts w:ascii="Corbel" w:hAnsi="Corbel"/>
          <w:sz w:val="24"/>
          <w:szCs w:val="24"/>
        </w:rPr>
        <w:t xml:space="preserve">It is envisaged that the framework will also include our EDU values. </w:t>
      </w:r>
    </w:p>
    <w:p w14:paraId="1CA3D615" w14:textId="77777777" w:rsidR="00CE00AE" w:rsidRPr="00E52AA0" w:rsidRDefault="00CE00AE" w:rsidP="004F2CE4">
      <w:pPr>
        <w:rPr>
          <w:rFonts w:ascii="Corbel" w:hAnsi="Corbel"/>
          <w:bCs/>
          <w:sz w:val="24"/>
          <w:szCs w:val="24"/>
        </w:rPr>
      </w:pPr>
    </w:p>
    <w:p w14:paraId="40A999F3" w14:textId="42A8FD0B" w:rsidR="00EF04BD" w:rsidRDefault="00F965B4">
      <w:pPr>
        <w:rPr>
          <w:rFonts w:eastAsia="Times New Roman" w:cstheme="minorHAnsi"/>
          <w:sz w:val="24"/>
          <w:szCs w:val="24"/>
          <w:lang w:eastAsia="en-GB"/>
        </w:rPr>
      </w:pPr>
      <w:r w:rsidRPr="00F965B4">
        <w:rPr>
          <w:rFonts w:cstheme="minorHAnsi"/>
          <w:b/>
          <w:bCs/>
          <w:sz w:val="24"/>
          <w:szCs w:val="24"/>
          <w:shd w:val="clear" w:color="auto" w:fill="FBE4D5" w:themeFill="accent2" w:themeFillTint="33"/>
        </w:rPr>
        <w:t>W</w:t>
      </w:r>
      <w:r w:rsidR="00E52AA0" w:rsidRPr="00F965B4">
        <w:rPr>
          <w:rFonts w:cstheme="minorHAnsi"/>
          <w:b/>
          <w:bCs/>
          <w:sz w:val="24"/>
          <w:szCs w:val="24"/>
          <w:shd w:val="clear" w:color="auto" w:fill="FBE4D5" w:themeFill="accent2" w:themeFillTint="33"/>
        </w:rPr>
        <w:t>e</w:t>
      </w:r>
      <w:r w:rsidR="00EF04BD" w:rsidRPr="00F965B4">
        <w:rPr>
          <w:rFonts w:cstheme="minorHAnsi"/>
          <w:b/>
          <w:bCs/>
          <w:sz w:val="24"/>
          <w:szCs w:val="24"/>
          <w:shd w:val="clear" w:color="auto" w:fill="FBE4D5" w:themeFill="accent2" w:themeFillTint="33"/>
        </w:rPr>
        <w:t xml:space="preserve"> lau</w:t>
      </w:r>
      <w:r w:rsidR="003E788F" w:rsidRPr="00F965B4">
        <w:rPr>
          <w:rFonts w:cstheme="minorHAnsi"/>
          <w:b/>
          <w:bCs/>
          <w:sz w:val="24"/>
          <w:szCs w:val="24"/>
          <w:shd w:val="clear" w:color="auto" w:fill="FBE4D5" w:themeFill="accent2" w:themeFillTint="33"/>
        </w:rPr>
        <w:t>nch</w:t>
      </w:r>
      <w:r w:rsidR="00E52AA0" w:rsidRPr="00F965B4">
        <w:rPr>
          <w:rFonts w:cstheme="minorHAnsi"/>
          <w:b/>
          <w:bCs/>
          <w:sz w:val="24"/>
          <w:szCs w:val="24"/>
          <w:shd w:val="clear" w:color="auto" w:fill="FBE4D5" w:themeFill="accent2" w:themeFillTint="33"/>
        </w:rPr>
        <w:t>ed</w:t>
      </w:r>
      <w:r w:rsidR="003E788F" w:rsidRPr="00F965B4">
        <w:rPr>
          <w:rFonts w:cstheme="minorHAnsi"/>
          <w:b/>
          <w:bCs/>
          <w:sz w:val="24"/>
          <w:szCs w:val="24"/>
          <w:shd w:val="clear" w:color="auto" w:fill="FBE4D5" w:themeFill="accent2" w:themeFillTint="33"/>
        </w:rPr>
        <w:t xml:space="preserve"> our new LGBT+ Equality Group</w:t>
      </w:r>
      <w:r>
        <w:rPr>
          <w:rFonts w:cstheme="minorHAnsi"/>
          <w:b/>
          <w:bCs/>
          <w:sz w:val="24"/>
          <w:szCs w:val="24"/>
        </w:rPr>
        <w:t xml:space="preserve">, </w:t>
      </w:r>
      <w:r w:rsidR="003E788F" w:rsidRPr="00E52AA0">
        <w:rPr>
          <w:rFonts w:cstheme="minorHAnsi"/>
          <w:sz w:val="24"/>
          <w:szCs w:val="24"/>
        </w:rPr>
        <w:t xml:space="preserve">which now sits alongside our </w:t>
      </w:r>
      <w:r w:rsidR="00C01837" w:rsidRPr="00E52AA0">
        <w:rPr>
          <w:rFonts w:cstheme="minorHAnsi"/>
          <w:sz w:val="24"/>
          <w:szCs w:val="24"/>
        </w:rPr>
        <w:t>R</w:t>
      </w:r>
      <w:r w:rsidR="003E788F" w:rsidRPr="00E52AA0">
        <w:rPr>
          <w:rFonts w:cstheme="minorHAnsi"/>
          <w:sz w:val="24"/>
          <w:szCs w:val="24"/>
        </w:rPr>
        <w:t xml:space="preserve">ace, </w:t>
      </w:r>
      <w:r w:rsidR="00C01837" w:rsidRPr="00E52AA0">
        <w:rPr>
          <w:rFonts w:cstheme="minorHAnsi"/>
          <w:sz w:val="24"/>
          <w:szCs w:val="24"/>
        </w:rPr>
        <w:t>G</w:t>
      </w:r>
      <w:r w:rsidR="003E788F" w:rsidRPr="00E52AA0">
        <w:rPr>
          <w:rFonts w:cstheme="minorHAnsi"/>
          <w:sz w:val="24"/>
          <w:szCs w:val="24"/>
        </w:rPr>
        <w:t>ender and Disability equality groups. This newly fo</w:t>
      </w:r>
      <w:r w:rsidR="003E788F" w:rsidRPr="003E788F">
        <w:rPr>
          <w:rFonts w:cstheme="minorHAnsi"/>
          <w:sz w:val="24"/>
          <w:szCs w:val="24"/>
        </w:rPr>
        <w:t>rmed group will act as an advisory, implementation and consultative forum in relation to all aspects of LGBT+ equality and inclusion at Royal Holloway,</w:t>
      </w:r>
      <w:r w:rsidR="003E788F" w:rsidRPr="003E788F">
        <w:rPr>
          <w:rFonts w:eastAsia="Times New Roman" w:cstheme="minorHAnsi"/>
          <w:sz w:val="24"/>
          <w:szCs w:val="24"/>
          <w:lang w:eastAsia="en-GB"/>
        </w:rPr>
        <w:t xml:space="preserve"> championing the spirit of</w:t>
      </w:r>
      <w:r w:rsidR="00C01837">
        <w:rPr>
          <w:rFonts w:eastAsia="Times New Roman" w:cstheme="minorHAnsi"/>
          <w:sz w:val="24"/>
          <w:szCs w:val="24"/>
          <w:lang w:eastAsia="en-GB"/>
        </w:rPr>
        <w:t xml:space="preserve"> our</w:t>
      </w:r>
      <w:r w:rsidR="003E788F" w:rsidRPr="003E788F">
        <w:rPr>
          <w:rFonts w:eastAsia="Times New Roman" w:cstheme="minorHAnsi"/>
          <w:sz w:val="24"/>
          <w:szCs w:val="24"/>
          <w:lang w:eastAsia="en-GB"/>
        </w:rPr>
        <w:t xml:space="preserve"> EDI Strategy and the Stonewall Workplace Equality Index scheme.</w:t>
      </w:r>
    </w:p>
    <w:p w14:paraId="1A64BFE3" w14:textId="77777777" w:rsidR="00831FE1" w:rsidRDefault="00831FE1" w:rsidP="00831FE1">
      <w:pPr>
        <w:pStyle w:val="Heading2"/>
      </w:pPr>
    </w:p>
    <w:p w14:paraId="37528CFD" w14:textId="7FE0CA94" w:rsidR="00831FE1" w:rsidRDefault="00831FE1" w:rsidP="00344F03">
      <w:pPr>
        <w:pStyle w:val="Heading2"/>
        <w:numPr>
          <w:ilvl w:val="0"/>
          <w:numId w:val="22"/>
        </w:numPr>
      </w:pPr>
      <w:r>
        <w:t xml:space="preserve">Key areas of </w:t>
      </w:r>
      <w:r w:rsidR="00F12DCF">
        <w:t xml:space="preserve">work and </w:t>
      </w:r>
      <w:r>
        <w:t>progress</w:t>
      </w:r>
    </w:p>
    <w:p w14:paraId="58E6AF5F" w14:textId="7CD04939" w:rsidR="00831FE1" w:rsidRPr="00831FE1" w:rsidRDefault="00831FE1" w:rsidP="00831FE1">
      <w:pPr>
        <w:rPr>
          <w:rFonts w:ascii="Corbel" w:hAnsi="Corbel"/>
          <w:sz w:val="24"/>
          <w:szCs w:val="24"/>
        </w:rPr>
      </w:pPr>
      <w:r w:rsidRPr="00831FE1">
        <w:rPr>
          <w:rFonts w:ascii="Corbel" w:hAnsi="Corbel"/>
          <w:sz w:val="24"/>
          <w:szCs w:val="24"/>
        </w:rPr>
        <w:t>Our new EDI governance structure and the formation of our new strategy working groups has resulted in an influx of EDI planning and activity</w:t>
      </w:r>
      <w:r>
        <w:rPr>
          <w:rFonts w:ascii="Corbel" w:hAnsi="Corbel"/>
          <w:sz w:val="24"/>
          <w:szCs w:val="24"/>
        </w:rPr>
        <w:t xml:space="preserve"> throughout 2021-2022</w:t>
      </w:r>
      <w:r w:rsidRPr="00831FE1">
        <w:rPr>
          <w:rFonts w:ascii="Corbel" w:hAnsi="Corbel"/>
          <w:sz w:val="24"/>
          <w:szCs w:val="24"/>
        </w:rPr>
        <w:t>.</w:t>
      </w:r>
    </w:p>
    <w:p w14:paraId="13374315" w14:textId="77777777" w:rsidR="00831FE1" w:rsidRPr="00831FE1" w:rsidRDefault="00831FE1" w:rsidP="00831FE1"/>
    <w:p w14:paraId="051AFE08" w14:textId="74F7939C" w:rsidR="00A157BC" w:rsidRPr="00AA129D" w:rsidRDefault="00C9721A" w:rsidP="00A45688">
      <w:pPr>
        <w:pStyle w:val="Heading3"/>
        <w:numPr>
          <w:ilvl w:val="0"/>
          <w:numId w:val="35"/>
        </w:numPr>
      </w:pPr>
      <w:r>
        <w:t xml:space="preserve">Inclusive Culture and Environment </w:t>
      </w:r>
    </w:p>
    <w:p w14:paraId="4CA16DD1" w14:textId="77777777" w:rsidR="00537C9C" w:rsidRDefault="00537C9C" w:rsidP="00A157BC">
      <w:pPr>
        <w:rPr>
          <w:rFonts w:ascii="Corbel" w:hAnsi="Corbel"/>
          <w:sz w:val="24"/>
          <w:szCs w:val="24"/>
        </w:rPr>
      </w:pPr>
    </w:p>
    <w:p w14:paraId="0A7ECA61" w14:textId="20CD19BC" w:rsidR="00537C9C" w:rsidRPr="00537C9C" w:rsidRDefault="00537C9C" w:rsidP="00537C9C">
      <w:pPr>
        <w:rPr>
          <w:rFonts w:ascii="Corbel" w:hAnsi="Corbel"/>
          <w:sz w:val="24"/>
          <w:szCs w:val="24"/>
          <w:lang w:eastAsia="en-GB"/>
        </w:rPr>
      </w:pPr>
      <w:r w:rsidRPr="00BD5085">
        <w:rPr>
          <w:rFonts w:ascii="Corbel" w:hAnsi="Corbel"/>
          <w:sz w:val="24"/>
          <w:szCs w:val="24"/>
          <w:lang w:eastAsia="en-GB"/>
        </w:rPr>
        <w:t xml:space="preserve">Consideration of turnover data highlights key areas of focus for the future, including removing barriers to inclusion and changing the culture to ensure every member of our community feels a sense of belonging. </w:t>
      </w:r>
    </w:p>
    <w:p w14:paraId="3D26A096" w14:textId="77777777" w:rsidR="00537C9C" w:rsidRPr="00127391" w:rsidRDefault="00537C9C" w:rsidP="00537C9C">
      <w:p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theme="minorHAnsi"/>
          <w:color w:val="000000" w:themeColor="text1"/>
          <w:kern w:val="24"/>
          <w:sz w:val="24"/>
          <w:szCs w:val="24"/>
          <w:lang w:val="en-US" w:eastAsia="en-GB"/>
        </w:rPr>
      </w:pPr>
      <w:r>
        <w:rPr>
          <w:rFonts w:eastAsiaTheme="minorEastAsia" w:cstheme="minorHAnsi"/>
          <w:color w:val="000000" w:themeColor="text1"/>
          <w:kern w:val="24"/>
          <w:sz w:val="24"/>
          <w:szCs w:val="24"/>
          <w:lang w:val="en-US" w:eastAsia="en-GB"/>
        </w:rPr>
        <w:t>Turnover</w:t>
      </w:r>
    </w:p>
    <w:p w14:paraId="0DEB80EC" w14:textId="77777777" w:rsidR="00537C9C" w:rsidRPr="00C82238" w:rsidRDefault="00537C9C" w:rsidP="00537C9C">
      <w:pPr>
        <w:pStyle w:val="ListParagraph"/>
        <w:numPr>
          <w:ilvl w:val="0"/>
          <w:numId w:val="12"/>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theme="minorHAnsi"/>
          <w:color w:val="000000" w:themeColor="text1"/>
          <w:kern w:val="24"/>
          <w:sz w:val="24"/>
          <w:szCs w:val="24"/>
          <w:lang w:val="en-US" w:eastAsia="en-GB"/>
        </w:rPr>
      </w:pPr>
      <w:r w:rsidRPr="00C82238">
        <w:rPr>
          <w:rFonts w:eastAsiaTheme="minorEastAsia" w:cstheme="minorHAnsi"/>
          <w:color w:val="000000" w:themeColor="text1"/>
          <w:kern w:val="24"/>
          <w:sz w:val="24"/>
          <w:szCs w:val="24"/>
          <w:lang w:eastAsia="en-GB"/>
        </w:rPr>
        <w:t>The group with the highest turnover is disabled staff, at 20.5%</w:t>
      </w:r>
      <w:r w:rsidRPr="00C82238">
        <w:rPr>
          <w:rFonts w:ascii="Arial" w:eastAsiaTheme="minorEastAsia" w:hAnsi="Arial" w:cs="Arial"/>
          <w:color w:val="000000" w:themeColor="text1"/>
          <w:kern w:val="24"/>
          <w:sz w:val="24"/>
          <w:szCs w:val="24"/>
          <w:lang w:val="en-US" w:eastAsia="en-GB"/>
        </w:rPr>
        <w:t>​</w:t>
      </w:r>
      <w:r w:rsidRPr="00C82238">
        <w:rPr>
          <w:rFonts w:eastAsiaTheme="minorEastAsia" w:cstheme="minorHAnsi"/>
          <w:color w:val="000000" w:themeColor="text1"/>
          <w:kern w:val="24"/>
          <w:sz w:val="24"/>
          <w:szCs w:val="24"/>
          <w:lang w:val="en-US" w:eastAsia="en-GB"/>
        </w:rPr>
        <w:t xml:space="preserve">. </w:t>
      </w:r>
    </w:p>
    <w:p w14:paraId="1EBD9CD4" w14:textId="77777777" w:rsidR="00537C9C" w:rsidRPr="00C82238" w:rsidRDefault="00537C9C" w:rsidP="00537C9C">
      <w:pPr>
        <w:pStyle w:val="ListParagraph"/>
        <w:numPr>
          <w:ilvl w:val="0"/>
          <w:numId w:val="12"/>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ascii="Arial" w:eastAsiaTheme="minorEastAsia" w:hAnsi="Arial" w:cs="Arial"/>
          <w:color w:val="000000" w:themeColor="text1"/>
          <w:kern w:val="24"/>
          <w:sz w:val="24"/>
          <w:szCs w:val="24"/>
          <w:lang w:val="en-US" w:eastAsia="en-GB"/>
        </w:rPr>
      </w:pPr>
      <w:r w:rsidRPr="00C82238">
        <w:rPr>
          <w:rFonts w:eastAsiaTheme="minorEastAsia" w:cstheme="minorHAnsi"/>
          <w:color w:val="000000" w:themeColor="text1"/>
          <w:kern w:val="24"/>
          <w:sz w:val="24"/>
          <w:szCs w:val="24"/>
          <w:lang w:val="en-US" w:eastAsia="en-GB"/>
        </w:rPr>
        <w:t xml:space="preserve">Women </w:t>
      </w:r>
      <w:r w:rsidRPr="00C82238">
        <w:rPr>
          <w:rFonts w:eastAsiaTheme="minorEastAsia" w:cstheme="minorHAnsi"/>
          <w:color w:val="000000" w:themeColor="text1"/>
          <w:kern w:val="24"/>
          <w:sz w:val="24"/>
          <w:szCs w:val="24"/>
          <w:lang w:eastAsia="en-GB"/>
        </w:rPr>
        <w:t>have a substantially higher turnover rate compared to men colleagues (18.6% compared to 11.6%)</w:t>
      </w:r>
    </w:p>
    <w:p w14:paraId="6B36223E" w14:textId="77777777" w:rsidR="00537C9C" w:rsidRPr="00C82238" w:rsidRDefault="00537C9C" w:rsidP="00537C9C">
      <w:pPr>
        <w:pStyle w:val="ListParagraph"/>
        <w:numPr>
          <w:ilvl w:val="0"/>
          <w:numId w:val="12"/>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theme="minorHAnsi"/>
          <w:color w:val="000000" w:themeColor="text1"/>
          <w:kern w:val="24"/>
          <w:sz w:val="24"/>
          <w:szCs w:val="24"/>
          <w:lang w:val="en-US" w:eastAsia="en-GB"/>
        </w:rPr>
      </w:pPr>
      <w:r w:rsidRPr="00C82238">
        <w:rPr>
          <w:rFonts w:eastAsiaTheme="minorEastAsia" w:cstheme="minorHAnsi"/>
          <w:color w:val="000000" w:themeColor="text1"/>
          <w:kern w:val="24"/>
          <w:sz w:val="24"/>
          <w:szCs w:val="24"/>
          <w:lang w:eastAsia="en-GB"/>
        </w:rPr>
        <w:t>The turnover of Black and global majority staff has fallen by 2.6 percentage points between 2021-22 and 2019-20.</w:t>
      </w:r>
      <w:r w:rsidRPr="00C82238">
        <w:rPr>
          <w:rFonts w:ascii="Arial" w:eastAsiaTheme="minorEastAsia" w:hAnsi="Arial" w:cs="Arial"/>
          <w:color w:val="000000" w:themeColor="text1"/>
          <w:kern w:val="24"/>
          <w:sz w:val="24"/>
          <w:szCs w:val="24"/>
          <w:lang w:val="en-US" w:eastAsia="en-GB"/>
        </w:rPr>
        <w:t>​</w:t>
      </w:r>
    </w:p>
    <w:p w14:paraId="16CC8B54" w14:textId="77777777" w:rsidR="00537C9C" w:rsidRDefault="00537C9C" w:rsidP="00537C9C">
      <w:pPr>
        <w:spacing w:after="0" w:line="240" w:lineRule="auto"/>
        <w:rPr>
          <w:rFonts w:ascii="Corbel" w:eastAsiaTheme="minorEastAsia" w:hAnsi="Corbel" w:cstheme="minorHAnsi"/>
          <w:color w:val="000000" w:themeColor="text1"/>
          <w:kern w:val="24"/>
          <w:sz w:val="24"/>
          <w:szCs w:val="24"/>
          <w:lang w:eastAsia="en-GB"/>
        </w:rPr>
      </w:pPr>
    </w:p>
    <w:p w14:paraId="1AC940A5" w14:textId="67FEBBFF" w:rsidR="00C9721A" w:rsidRDefault="00F965B4" w:rsidP="00A157BC">
      <w:pPr>
        <w:rPr>
          <w:rFonts w:ascii="Corbel" w:hAnsi="Corbel"/>
          <w:b/>
          <w:bCs/>
          <w:sz w:val="24"/>
          <w:szCs w:val="24"/>
        </w:rPr>
      </w:pPr>
      <w:r>
        <w:rPr>
          <w:rFonts w:ascii="Corbel" w:hAnsi="Corbel"/>
          <w:sz w:val="24"/>
          <w:szCs w:val="24"/>
        </w:rPr>
        <w:t xml:space="preserve">Our Inclusive Culture and Environment Working Group </w:t>
      </w:r>
      <w:r w:rsidR="00E52AA0" w:rsidRPr="00E52AA0">
        <w:rPr>
          <w:rFonts w:ascii="Corbel" w:hAnsi="Corbel"/>
          <w:sz w:val="24"/>
          <w:szCs w:val="24"/>
        </w:rPr>
        <w:t xml:space="preserve">carried out a </w:t>
      </w:r>
      <w:r w:rsidR="00BA629C" w:rsidRPr="00E52AA0">
        <w:rPr>
          <w:rFonts w:ascii="Corbel" w:hAnsi="Corbel"/>
          <w:b/>
          <w:bCs/>
          <w:sz w:val="24"/>
          <w:szCs w:val="24"/>
        </w:rPr>
        <w:t>comprehensive review of</w:t>
      </w:r>
      <w:r w:rsidR="00A157BC" w:rsidRPr="00E52AA0">
        <w:rPr>
          <w:rFonts w:ascii="Corbel" w:hAnsi="Corbel"/>
          <w:b/>
          <w:bCs/>
          <w:sz w:val="24"/>
          <w:szCs w:val="24"/>
        </w:rPr>
        <w:t xml:space="preserve"> </w:t>
      </w:r>
      <w:r w:rsidR="00BA629C" w:rsidRPr="00E52AA0">
        <w:rPr>
          <w:rFonts w:ascii="Corbel" w:hAnsi="Corbel"/>
          <w:b/>
          <w:bCs/>
          <w:sz w:val="24"/>
          <w:szCs w:val="24"/>
        </w:rPr>
        <w:t>central</w:t>
      </w:r>
      <w:r w:rsidR="00A157BC" w:rsidRPr="00E52AA0">
        <w:rPr>
          <w:rFonts w:ascii="Corbel" w:hAnsi="Corbel"/>
          <w:b/>
          <w:bCs/>
          <w:sz w:val="24"/>
          <w:szCs w:val="24"/>
        </w:rPr>
        <w:t xml:space="preserve"> EDI training </w:t>
      </w:r>
      <w:r w:rsidR="00BA629C" w:rsidRPr="00E52AA0">
        <w:rPr>
          <w:rFonts w:ascii="Corbel" w:hAnsi="Corbel"/>
          <w:b/>
          <w:bCs/>
          <w:sz w:val="24"/>
          <w:szCs w:val="24"/>
        </w:rPr>
        <w:t>in 202</w:t>
      </w:r>
      <w:r w:rsidR="00E52AA0">
        <w:rPr>
          <w:rFonts w:ascii="Corbel" w:hAnsi="Corbel"/>
          <w:b/>
          <w:bCs/>
          <w:sz w:val="24"/>
          <w:szCs w:val="24"/>
        </w:rPr>
        <w:t xml:space="preserve">2. </w:t>
      </w:r>
    </w:p>
    <w:p w14:paraId="2765E386" w14:textId="30E34B37" w:rsidR="00A157BC" w:rsidRPr="00AA129D" w:rsidRDefault="00E52AA0" w:rsidP="00A157BC">
      <w:pPr>
        <w:rPr>
          <w:rFonts w:ascii="Corbel" w:hAnsi="Corbel"/>
          <w:sz w:val="24"/>
          <w:szCs w:val="24"/>
        </w:rPr>
      </w:pPr>
      <w:r>
        <w:rPr>
          <w:rFonts w:ascii="Corbel" w:hAnsi="Corbel"/>
          <w:sz w:val="24"/>
          <w:szCs w:val="24"/>
        </w:rPr>
        <w:lastRenderedPageBreak/>
        <w:t xml:space="preserve">As a result we </w:t>
      </w:r>
      <w:r w:rsidR="00154930" w:rsidRPr="00AA129D">
        <w:rPr>
          <w:rFonts w:ascii="Corbel" w:hAnsi="Corbel"/>
          <w:sz w:val="24"/>
          <w:szCs w:val="24"/>
        </w:rPr>
        <w:t xml:space="preserve">have procured a </w:t>
      </w:r>
      <w:r w:rsidR="00154930" w:rsidRPr="00E52AA0">
        <w:rPr>
          <w:rFonts w:ascii="Corbel" w:hAnsi="Corbel"/>
          <w:b/>
          <w:bCs/>
          <w:sz w:val="24"/>
          <w:szCs w:val="24"/>
        </w:rPr>
        <w:t>new EDI Essentials e-learning package</w:t>
      </w:r>
      <w:r w:rsidR="00154930" w:rsidRPr="00E52AA0">
        <w:rPr>
          <w:rFonts w:ascii="Corbel" w:hAnsi="Corbel"/>
          <w:sz w:val="24"/>
          <w:szCs w:val="24"/>
        </w:rPr>
        <w:t xml:space="preserve"> </w:t>
      </w:r>
      <w:r w:rsidR="00A157BC" w:rsidRPr="00E52AA0">
        <w:rPr>
          <w:rFonts w:ascii="Corbel" w:hAnsi="Corbel"/>
          <w:sz w:val="24"/>
          <w:szCs w:val="24"/>
        </w:rPr>
        <w:t>as part of a wider approach to training</w:t>
      </w:r>
      <w:r w:rsidR="00BA629C" w:rsidRPr="00E52AA0">
        <w:rPr>
          <w:rFonts w:ascii="Corbel" w:hAnsi="Corbel"/>
          <w:sz w:val="24"/>
          <w:szCs w:val="24"/>
        </w:rPr>
        <w:t xml:space="preserve"> which is mandatory</w:t>
      </w:r>
      <w:r w:rsidR="00BA629C">
        <w:rPr>
          <w:rFonts w:ascii="Corbel" w:hAnsi="Corbel"/>
          <w:sz w:val="24"/>
          <w:szCs w:val="24"/>
        </w:rPr>
        <w:t xml:space="preserve"> for all colleagues</w:t>
      </w:r>
      <w:r w:rsidR="00A157BC" w:rsidRPr="00AA129D">
        <w:rPr>
          <w:rFonts w:ascii="Corbel" w:hAnsi="Corbel"/>
          <w:sz w:val="24"/>
          <w:szCs w:val="24"/>
        </w:rPr>
        <w:t xml:space="preserve">: </w:t>
      </w:r>
    </w:p>
    <w:p w14:paraId="0AD65470" w14:textId="0A9E77FB" w:rsidR="00A157BC" w:rsidRPr="00AA129D" w:rsidRDefault="00A157BC" w:rsidP="00A157BC">
      <w:pPr>
        <w:pStyle w:val="NoSpacing"/>
        <w:numPr>
          <w:ilvl w:val="0"/>
          <w:numId w:val="2"/>
        </w:numPr>
        <w:rPr>
          <w:rFonts w:ascii="Corbel" w:hAnsi="Corbel"/>
          <w:sz w:val="24"/>
          <w:szCs w:val="24"/>
        </w:rPr>
      </w:pPr>
      <w:r w:rsidRPr="00AA129D">
        <w:rPr>
          <w:rFonts w:ascii="Corbel" w:hAnsi="Corbel"/>
          <w:sz w:val="24"/>
          <w:szCs w:val="24"/>
        </w:rPr>
        <w:t>Diversity and Inclusion in the workplace</w:t>
      </w:r>
      <w:r w:rsidR="00C01837">
        <w:rPr>
          <w:rFonts w:ascii="Corbel" w:hAnsi="Corbel"/>
          <w:sz w:val="24"/>
          <w:szCs w:val="24"/>
        </w:rPr>
        <w:t>.</w:t>
      </w:r>
      <w:r w:rsidRPr="00AA129D">
        <w:rPr>
          <w:rFonts w:ascii="Corbel" w:hAnsi="Corbel"/>
          <w:sz w:val="24"/>
          <w:szCs w:val="24"/>
        </w:rPr>
        <w:t xml:space="preserve"> </w:t>
      </w:r>
    </w:p>
    <w:p w14:paraId="5B720E79" w14:textId="10A7EEAD" w:rsidR="00A157BC" w:rsidRPr="00AA129D" w:rsidRDefault="00A157BC" w:rsidP="00A157BC">
      <w:pPr>
        <w:pStyle w:val="NoSpacing"/>
        <w:numPr>
          <w:ilvl w:val="0"/>
          <w:numId w:val="2"/>
        </w:numPr>
        <w:rPr>
          <w:rFonts w:ascii="Corbel" w:hAnsi="Corbel"/>
          <w:sz w:val="24"/>
          <w:szCs w:val="24"/>
        </w:rPr>
      </w:pPr>
      <w:r w:rsidRPr="00AA129D">
        <w:rPr>
          <w:rFonts w:ascii="Corbel" w:hAnsi="Corbel"/>
          <w:sz w:val="24"/>
          <w:szCs w:val="24"/>
        </w:rPr>
        <w:t xml:space="preserve">Unconscious </w:t>
      </w:r>
      <w:r w:rsidR="00BA629C">
        <w:rPr>
          <w:rFonts w:ascii="Corbel" w:hAnsi="Corbel"/>
          <w:sz w:val="24"/>
          <w:szCs w:val="24"/>
        </w:rPr>
        <w:t>b</w:t>
      </w:r>
      <w:r w:rsidRPr="00AA129D">
        <w:rPr>
          <w:rFonts w:ascii="Corbel" w:hAnsi="Corbel"/>
          <w:sz w:val="24"/>
          <w:szCs w:val="24"/>
        </w:rPr>
        <w:t>ias</w:t>
      </w:r>
      <w:r w:rsidR="00C01837">
        <w:rPr>
          <w:rFonts w:ascii="Corbel" w:hAnsi="Corbel"/>
          <w:sz w:val="24"/>
          <w:szCs w:val="24"/>
        </w:rPr>
        <w:t>.</w:t>
      </w:r>
    </w:p>
    <w:p w14:paraId="41A2243B" w14:textId="53464D46" w:rsidR="00A157BC" w:rsidRPr="00AA129D" w:rsidRDefault="00A157BC" w:rsidP="00A157BC">
      <w:pPr>
        <w:pStyle w:val="NoSpacing"/>
        <w:numPr>
          <w:ilvl w:val="0"/>
          <w:numId w:val="2"/>
        </w:numPr>
        <w:rPr>
          <w:rFonts w:ascii="Corbel" w:hAnsi="Corbel"/>
          <w:sz w:val="24"/>
          <w:szCs w:val="24"/>
        </w:rPr>
      </w:pPr>
      <w:r w:rsidRPr="00AA129D">
        <w:rPr>
          <w:rFonts w:ascii="Corbel" w:hAnsi="Corbel"/>
          <w:sz w:val="24"/>
          <w:szCs w:val="24"/>
        </w:rPr>
        <w:t>Allyship</w:t>
      </w:r>
      <w:r w:rsidR="00C01837">
        <w:rPr>
          <w:rFonts w:ascii="Corbel" w:hAnsi="Corbel"/>
          <w:sz w:val="24"/>
          <w:szCs w:val="24"/>
        </w:rPr>
        <w:t>.</w:t>
      </w:r>
    </w:p>
    <w:p w14:paraId="0454B0F9" w14:textId="4B28575E" w:rsidR="00A157BC" w:rsidRPr="00AA129D" w:rsidRDefault="00A157BC" w:rsidP="00A157BC">
      <w:pPr>
        <w:pStyle w:val="NoSpacing"/>
        <w:numPr>
          <w:ilvl w:val="0"/>
          <w:numId w:val="2"/>
        </w:numPr>
        <w:rPr>
          <w:rFonts w:ascii="Corbel" w:hAnsi="Corbel"/>
          <w:sz w:val="24"/>
          <w:szCs w:val="24"/>
        </w:rPr>
      </w:pPr>
      <w:r w:rsidRPr="00AA129D">
        <w:rPr>
          <w:rFonts w:ascii="Corbel" w:hAnsi="Corbel"/>
          <w:sz w:val="24"/>
          <w:szCs w:val="24"/>
        </w:rPr>
        <w:t>Bullying and harassment</w:t>
      </w:r>
      <w:r w:rsidR="00BA629C">
        <w:rPr>
          <w:rFonts w:ascii="Corbel" w:hAnsi="Corbel"/>
          <w:sz w:val="24"/>
          <w:szCs w:val="24"/>
        </w:rPr>
        <w:t>.</w:t>
      </w:r>
    </w:p>
    <w:p w14:paraId="4015E326" w14:textId="77777777" w:rsidR="00A157BC" w:rsidRPr="00AA129D" w:rsidRDefault="00A157BC" w:rsidP="00A157BC">
      <w:pPr>
        <w:pStyle w:val="NoSpacing"/>
        <w:ind w:left="360"/>
        <w:rPr>
          <w:rFonts w:ascii="Corbel" w:hAnsi="Corbel"/>
          <w:sz w:val="24"/>
          <w:szCs w:val="24"/>
        </w:rPr>
      </w:pPr>
    </w:p>
    <w:p w14:paraId="06B7CE27" w14:textId="6D43875D" w:rsidR="00C01837" w:rsidRDefault="00A157BC" w:rsidP="00A157BC">
      <w:pPr>
        <w:rPr>
          <w:rFonts w:ascii="Corbel" w:hAnsi="Corbel"/>
          <w:sz w:val="24"/>
          <w:szCs w:val="24"/>
        </w:rPr>
      </w:pPr>
      <w:r w:rsidRPr="00AA129D">
        <w:rPr>
          <w:rFonts w:ascii="Corbel" w:hAnsi="Corbel"/>
          <w:sz w:val="24"/>
          <w:szCs w:val="24"/>
        </w:rPr>
        <w:t>The</w:t>
      </w:r>
      <w:r w:rsidR="00BA629C">
        <w:rPr>
          <w:rFonts w:ascii="Corbel" w:hAnsi="Corbel"/>
          <w:sz w:val="24"/>
          <w:szCs w:val="24"/>
        </w:rPr>
        <w:t xml:space="preserve">se modules </w:t>
      </w:r>
      <w:r w:rsidRPr="00AA129D">
        <w:rPr>
          <w:rFonts w:ascii="Corbel" w:hAnsi="Corbel"/>
          <w:sz w:val="24"/>
          <w:szCs w:val="24"/>
        </w:rPr>
        <w:t xml:space="preserve">build on knowledge and awareness throughout the programme, moving from theory to action. </w:t>
      </w:r>
      <w:r w:rsidR="00C01837">
        <w:rPr>
          <w:rFonts w:ascii="Corbel" w:hAnsi="Corbel"/>
          <w:sz w:val="24"/>
          <w:szCs w:val="24"/>
        </w:rPr>
        <w:t xml:space="preserve">We plan to supplement existing training with micro-learning pathways in the form of recorded bitesize sessions that colleagues can use to </w:t>
      </w:r>
      <w:r w:rsidR="00C01837" w:rsidRPr="00510788">
        <w:rPr>
          <w:rFonts w:ascii="Corbel" w:hAnsi="Corbel"/>
          <w:sz w:val="24"/>
          <w:szCs w:val="24"/>
        </w:rPr>
        <w:t xml:space="preserve">integrate EDI awareness and messaging into existing regular department structures and processes.  </w:t>
      </w:r>
    </w:p>
    <w:p w14:paraId="22B80678" w14:textId="5404EBE3" w:rsidR="00A157BC" w:rsidRPr="00AA129D" w:rsidRDefault="00154930" w:rsidP="00A157BC">
      <w:pPr>
        <w:rPr>
          <w:rFonts w:ascii="Corbel" w:hAnsi="Corbel"/>
          <w:sz w:val="24"/>
          <w:szCs w:val="24"/>
        </w:rPr>
      </w:pPr>
      <w:r w:rsidRPr="00AA129D">
        <w:rPr>
          <w:rFonts w:ascii="Corbel" w:hAnsi="Corbel"/>
          <w:sz w:val="24"/>
          <w:szCs w:val="24"/>
        </w:rPr>
        <w:t xml:space="preserve">Following on from our 2021 </w:t>
      </w:r>
      <w:r w:rsidRPr="004D15C5">
        <w:rPr>
          <w:rFonts w:ascii="Corbel" w:hAnsi="Corbel"/>
          <w:b/>
          <w:bCs/>
          <w:sz w:val="24"/>
          <w:szCs w:val="24"/>
        </w:rPr>
        <w:t>Conversations About Race</w:t>
      </w:r>
      <w:r w:rsidRPr="00AA129D">
        <w:rPr>
          <w:rFonts w:ascii="Corbel" w:hAnsi="Corbel"/>
          <w:sz w:val="24"/>
          <w:szCs w:val="24"/>
        </w:rPr>
        <w:t xml:space="preserve"> </w:t>
      </w:r>
      <w:r w:rsidR="00622D32">
        <w:rPr>
          <w:rFonts w:ascii="Corbel" w:hAnsi="Corbel"/>
          <w:sz w:val="24"/>
          <w:szCs w:val="24"/>
        </w:rPr>
        <w:t xml:space="preserve">pilot </w:t>
      </w:r>
      <w:r w:rsidRPr="00AA129D">
        <w:rPr>
          <w:rFonts w:ascii="Corbel" w:hAnsi="Corbel"/>
          <w:sz w:val="24"/>
          <w:szCs w:val="24"/>
        </w:rPr>
        <w:t xml:space="preserve">initiative, we are progressing towards offering these opportunities </w:t>
      </w:r>
      <w:r w:rsidR="00A157BC" w:rsidRPr="00AA129D">
        <w:rPr>
          <w:rFonts w:ascii="Corbel" w:hAnsi="Corbel"/>
          <w:sz w:val="24"/>
          <w:szCs w:val="24"/>
        </w:rPr>
        <w:t xml:space="preserve">locally </w:t>
      </w:r>
      <w:r w:rsidR="00C01837">
        <w:rPr>
          <w:rFonts w:ascii="Corbel" w:hAnsi="Corbel"/>
          <w:sz w:val="24"/>
          <w:szCs w:val="24"/>
        </w:rPr>
        <w:t xml:space="preserve">so that learning can be supported through conversations about lived experiences of marginalisation and discrimination. </w:t>
      </w:r>
    </w:p>
    <w:p w14:paraId="08DCDF05" w14:textId="0E66B86E" w:rsidR="00A157BC" w:rsidRPr="00AA129D" w:rsidRDefault="00C01837" w:rsidP="00A157BC">
      <w:pPr>
        <w:rPr>
          <w:rFonts w:ascii="Corbel" w:hAnsi="Corbel"/>
          <w:sz w:val="24"/>
          <w:szCs w:val="24"/>
        </w:rPr>
      </w:pPr>
      <w:r w:rsidRPr="00AA129D">
        <w:rPr>
          <w:rFonts w:ascii="Corbel" w:hAnsi="Corbel"/>
          <w:sz w:val="24"/>
          <w:szCs w:val="24"/>
        </w:rPr>
        <w:t xml:space="preserve">We worked with Advance HE on the design of a new Introduction to Race Equity e-learning course that </w:t>
      </w:r>
      <w:r>
        <w:rPr>
          <w:rFonts w:ascii="Corbel" w:hAnsi="Corbel"/>
          <w:sz w:val="24"/>
          <w:szCs w:val="24"/>
        </w:rPr>
        <w:t xml:space="preserve">launched in </w:t>
      </w:r>
      <w:r w:rsidR="00AA129D" w:rsidRPr="00AA129D">
        <w:rPr>
          <w:rFonts w:ascii="Corbel" w:hAnsi="Corbel"/>
          <w:sz w:val="24"/>
          <w:szCs w:val="24"/>
        </w:rPr>
        <w:t>2022</w:t>
      </w:r>
      <w:r>
        <w:rPr>
          <w:rFonts w:ascii="Corbel" w:hAnsi="Corbel"/>
          <w:sz w:val="24"/>
          <w:szCs w:val="24"/>
        </w:rPr>
        <w:t xml:space="preserve">. The programme is </w:t>
      </w:r>
      <w:r w:rsidR="00AA129D" w:rsidRPr="00AA129D">
        <w:rPr>
          <w:rFonts w:ascii="Corbel" w:hAnsi="Corbel"/>
          <w:sz w:val="24"/>
          <w:szCs w:val="24"/>
        </w:rPr>
        <w:t xml:space="preserve">tailored to Royal Holloway </w:t>
      </w:r>
      <w:r w:rsidR="004D15C5">
        <w:rPr>
          <w:rFonts w:ascii="Corbel" w:hAnsi="Corbel"/>
          <w:sz w:val="24"/>
          <w:szCs w:val="24"/>
        </w:rPr>
        <w:t>and</w:t>
      </w:r>
      <w:r w:rsidR="00AA129D" w:rsidRPr="00AA129D">
        <w:rPr>
          <w:rFonts w:ascii="Corbel" w:hAnsi="Corbel"/>
          <w:sz w:val="24"/>
          <w:szCs w:val="24"/>
        </w:rPr>
        <w:t xml:space="preserve"> explores </w:t>
      </w:r>
      <w:r w:rsidR="00AA129D" w:rsidRPr="00AA129D">
        <w:rPr>
          <w:rFonts w:ascii="Corbel" w:hAnsi="Corbel" w:cs="Arial"/>
          <w:color w:val="333333"/>
          <w:sz w:val="24"/>
          <w:szCs w:val="24"/>
        </w:rPr>
        <w:t xml:space="preserve">overt/covert racism, privilege, inclusion and belonging. We now offer </w:t>
      </w:r>
      <w:r w:rsidR="00AA129D" w:rsidRPr="00AA129D">
        <w:rPr>
          <w:rFonts w:ascii="Corbel" w:hAnsi="Corbel"/>
          <w:sz w:val="24"/>
          <w:szCs w:val="24"/>
        </w:rPr>
        <w:t xml:space="preserve">new synchronous </w:t>
      </w:r>
      <w:r w:rsidR="004F2CE4">
        <w:rPr>
          <w:rFonts w:ascii="Corbel" w:hAnsi="Corbel"/>
          <w:b/>
          <w:bCs/>
          <w:sz w:val="24"/>
          <w:szCs w:val="24"/>
        </w:rPr>
        <w:t>T</w:t>
      </w:r>
      <w:r w:rsidR="00AA129D" w:rsidRPr="004D15C5">
        <w:rPr>
          <w:rFonts w:ascii="Corbel" w:hAnsi="Corbel"/>
          <w:b/>
          <w:bCs/>
          <w:sz w:val="24"/>
          <w:szCs w:val="24"/>
        </w:rPr>
        <w:t xml:space="preserve">rans </w:t>
      </w:r>
      <w:r w:rsidR="00D1737D">
        <w:rPr>
          <w:rFonts w:ascii="Corbel" w:hAnsi="Corbel"/>
          <w:b/>
          <w:bCs/>
          <w:sz w:val="24"/>
          <w:szCs w:val="24"/>
        </w:rPr>
        <w:t>A</w:t>
      </w:r>
      <w:r w:rsidR="00AA129D" w:rsidRPr="004D15C5">
        <w:rPr>
          <w:rFonts w:ascii="Corbel" w:hAnsi="Corbel"/>
          <w:b/>
          <w:bCs/>
          <w:sz w:val="24"/>
          <w:szCs w:val="24"/>
        </w:rPr>
        <w:t>wareness training</w:t>
      </w:r>
      <w:r w:rsidR="00AA129D" w:rsidRPr="00AA129D">
        <w:rPr>
          <w:rFonts w:ascii="Corbel" w:hAnsi="Corbel"/>
          <w:sz w:val="24"/>
          <w:szCs w:val="24"/>
        </w:rPr>
        <w:t xml:space="preserve"> that combines theory alongside practical tools, with plans to expand to </w:t>
      </w:r>
      <w:r w:rsidR="00A157BC" w:rsidRPr="00AA129D">
        <w:rPr>
          <w:rFonts w:ascii="Corbel" w:hAnsi="Corbel"/>
          <w:sz w:val="24"/>
          <w:szCs w:val="24"/>
        </w:rPr>
        <w:t>face</w:t>
      </w:r>
      <w:r>
        <w:rPr>
          <w:rFonts w:ascii="Corbel" w:hAnsi="Corbel"/>
          <w:sz w:val="24"/>
          <w:szCs w:val="24"/>
        </w:rPr>
        <w:t>-</w:t>
      </w:r>
      <w:r w:rsidR="00A157BC" w:rsidRPr="00AA129D">
        <w:rPr>
          <w:rFonts w:ascii="Corbel" w:hAnsi="Corbel"/>
          <w:sz w:val="24"/>
          <w:szCs w:val="24"/>
        </w:rPr>
        <w:t>to</w:t>
      </w:r>
      <w:r>
        <w:rPr>
          <w:rFonts w:ascii="Corbel" w:hAnsi="Corbel"/>
          <w:sz w:val="24"/>
          <w:szCs w:val="24"/>
        </w:rPr>
        <w:t>-</w:t>
      </w:r>
      <w:r w:rsidR="00A157BC" w:rsidRPr="00AA129D">
        <w:rPr>
          <w:rFonts w:ascii="Corbel" w:hAnsi="Corbel"/>
          <w:sz w:val="24"/>
          <w:szCs w:val="24"/>
        </w:rPr>
        <w:t>face and online LGBT+ Allyship training for sexuality and for gender identity respectively.</w:t>
      </w:r>
      <w:r w:rsidR="004D15C5">
        <w:rPr>
          <w:rFonts w:ascii="Corbel" w:hAnsi="Corbel"/>
          <w:sz w:val="24"/>
          <w:szCs w:val="24"/>
        </w:rPr>
        <w:t xml:space="preserve"> </w:t>
      </w:r>
    </w:p>
    <w:p w14:paraId="7C5E24B6" w14:textId="04944798" w:rsidR="00A157BC" w:rsidRPr="00AA129D" w:rsidRDefault="00154930" w:rsidP="00AF1B74">
      <w:pPr>
        <w:pBdr>
          <w:top w:val="single" w:sz="4" w:space="1" w:color="FF0000"/>
          <w:left w:val="single" w:sz="4" w:space="4" w:color="FF0000"/>
          <w:bottom w:val="single" w:sz="4" w:space="1" w:color="FF0000"/>
          <w:right w:val="single" w:sz="4" w:space="4" w:color="FF0000"/>
        </w:pBdr>
        <w:rPr>
          <w:rFonts w:ascii="Corbel" w:hAnsi="Corbel"/>
          <w:sz w:val="24"/>
          <w:szCs w:val="24"/>
        </w:rPr>
      </w:pPr>
      <w:r w:rsidRPr="00AA129D">
        <w:rPr>
          <w:rFonts w:ascii="Corbel" w:hAnsi="Corbel"/>
          <w:sz w:val="24"/>
          <w:szCs w:val="24"/>
        </w:rPr>
        <w:t>We have started to d</w:t>
      </w:r>
      <w:r w:rsidR="00AA129D">
        <w:rPr>
          <w:rFonts w:ascii="Corbel" w:hAnsi="Corbel"/>
          <w:sz w:val="24"/>
          <w:szCs w:val="24"/>
        </w:rPr>
        <w:t xml:space="preserve">evelop </w:t>
      </w:r>
      <w:r w:rsidRPr="00AA129D">
        <w:rPr>
          <w:rFonts w:ascii="Corbel" w:hAnsi="Corbel"/>
          <w:sz w:val="24"/>
          <w:szCs w:val="24"/>
        </w:rPr>
        <w:t xml:space="preserve">a </w:t>
      </w:r>
      <w:r w:rsidRPr="00AA129D">
        <w:rPr>
          <w:rFonts w:ascii="Corbel" w:hAnsi="Corbel"/>
          <w:b/>
          <w:bCs/>
          <w:sz w:val="24"/>
          <w:szCs w:val="24"/>
        </w:rPr>
        <w:t>package of support around the peri/menopause</w:t>
      </w:r>
      <w:r w:rsidRPr="00AA129D">
        <w:rPr>
          <w:rFonts w:ascii="Corbel" w:hAnsi="Corbel"/>
          <w:sz w:val="24"/>
          <w:szCs w:val="24"/>
        </w:rPr>
        <w:t xml:space="preserve"> </w:t>
      </w:r>
      <w:r w:rsidR="00A157BC" w:rsidRPr="00AA129D">
        <w:rPr>
          <w:rFonts w:ascii="Corbel" w:hAnsi="Corbel"/>
          <w:sz w:val="24"/>
          <w:szCs w:val="24"/>
        </w:rPr>
        <w:t>and awareness in the workplace</w:t>
      </w:r>
      <w:r w:rsidR="00AF1B74">
        <w:rPr>
          <w:rFonts w:ascii="Corbel" w:hAnsi="Corbel"/>
          <w:sz w:val="24"/>
          <w:szCs w:val="24"/>
        </w:rPr>
        <w:t xml:space="preserve">, including </w:t>
      </w:r>
      <w:r w:rsidR="00AA129D">
        <w:rPr>
          <w:rFonts w:ascii="Corbel" w:hAnsi="Corbel"/>
          <w:sz w:val="24"/>
          <w:szCs w:val="24"/>
        </w:rPr>
        <w:t xml:space="preserve">workshops </w:t>
      </w:r>
      <w:r w:rsidR="00AF1B74">
        <w:rPr>
          <w:rFonts w:ascii="Corbel" w:hAnsi="Corbel"/>
          <w:sz w:val="24"/>
          <w:szCs w:val="24"/>
        </w:rPr>
        <w:t>on</w:t>
      </w:r>
      <w:r w:rsidRPr="00AA129D">
        <w:rPr>
          <w:rFonts w:ascii="Corbel" w:hAnsi="Corbel"/>
          <w:sz w:val="24"/>
          <w:szCs w:val="24"/>
        </w:rPr>
        <w:t xml:space="preserve"> resilience and HRT</w:t>
      </w:r>
      <w:r w:rsidR="00AF1B74">
        <w:rPr>
          <w:rFonts w:ascii="Corbel" w:hAnsi="Corbel"/>
          <w:sz w:val="24"/>
          <w:szCs w:val="24"/>
        </w:rPr>
        <w:t>. Moving forwards, we will set up</w:t>
      </w:r>
      <w:r w:rsidRPr="00AA129D">
        <w:rPr>
          <w:rFonts w:ascii="Corbel" w:hAnsi="Corbel"/>
          <w:sz w:val="24"/>
          <w:szCs w:val="24"/>
        </w:rPr>
        <w:t xml:space="preserve"> awareness sessions </w:t>
      </w:r>
      <w:r w:rsidR="00AF1B74">
        <w:rPr>
          <w:rFonts w:ascii="Corbel" w:hAnsi="Corbel"/>
          <w:sz w:val="24"/>
          <w:szCs w:val="24"/>
        </w:rPr>
        <w:t>for</w:t>
      </w:r>
      <w:r w:rsidRPr="00AA129D">
        <w:rPr>
          <w:rFonts w:ascii="Corbel" w:hAnsi="Corbel"/>
          <w:sz w:val="24"/>
          <w:szCs w:val="24"/>
        </w:rPr>
        <w:t xml:space="preserve"> managers and establish a peer support network. </w:t>
      </w:r>
    </w:p>
    <w:p w14:paraId="77013D7F" w14:textId="3799AA36" w:rsidR="00A157BC" w:rsidRPr="00AA129D" w:rsidRDefault="00AA129D" w:rsidP="00A157BC">
      <w:pPr>
        <w:rPr>
          <w:rFonts w:ascii="Corbel" w:hAnsi="Corbel"/>
          <w:sz w:val="24"/>
          <w:szCs w:val="24"/>
        </w:rPr>
      </w:pPr>
      <w:r w:rsidRPr="003A7664">
        <w:rPr>
          <w:rFonts w:ascii="Corbel" w:hAnsi="Corbel"/>
          <w:b/>
          <w:bCs/>
          <w:sz w:val="24"/>
          <w:szCs w:val="24"/>
        </w:rPr>
        <w:t>Senior Leadership Training</w:t>
      </w:r>
      <w:r>
        <w:rPr>
          <w:rFonts w:ascii="Corbel" w:hAnsi="Corbel"/>
          <w:sz w:val="24"/>
          <w:szCs w:val="24"/>
        </w:rPr>
        <w:t xml:space="preserve"> took place in May and July 2022 </w:t>
      </w:r>
      <w:r w:rsidR="004D15C5">
        <w:rPr>
          <w:rFonts w:ascii="Corbel" w:hAnsi="Corbel"/>
          <w:sz w:val="24"/>
          <w:szCs w:val="24"/>
        </w:rPr>
        <w:t>focusing on</w:t>
      </w:r>
      <w:r>
        <w:rPr>
          <w:rFonts w:ascii="Corbel" w:hAnsi="Corbel"/>
          <w:sz w:val="24"/>
          <w:szCs w:val="24"/>
        </w:rPr>
        <w:t xml:space="preserve"> </w:t>
      </w:r>
      <w:r w:rsidR="00A157BC" w:rsidRPr="00AA129D">
        <w:rPr>
          <w:rFonts w:ascii="Corbel" w:hAnsi="Corbel"/>
          <w:sz w:val="24"/>
          <w:szCs w:val="24"/>
        </w:rPr>
        <w:t xml:space="preserve">race equality, </w:t>
      </w:r>
      <w:r w:rsidR="004D15C5">
        <w:rPr>
          <w:rFonts w:ascii="Corbel" w:hAnsi="Corbel"/>
          <w:sz w:val="24"/>
          <w:szCs w:val="24"/>
        </w:rPr>
        <w:t xml:space="preserve">with discussions around </w:t>
      </w:r>
      <w:r w:rsidR="00A157BC" w:rsidRPr="00AA129D">
        <w:rPr>
          <w:rFonts w:ascii="Corbel" w:hAnsi="Corbel"/>
          <w:sz w:val="24"/>
          <w:szCs w:val="24"/>
        </w:rPr>
        <w:t>white privilege and fragility, hav</w:t>
      </w:r>
      <w:r w:rsidR="004D15C5">
        <w:rPr>
          <w:rFonts w:ascii="Corbel" w:hAnsi="Corbel"/>
          <w:sz w:val="24"/>
          <w:szCs w:val="24"/>
        </w:rPr>
        <w:t>ing</w:t>
      </w:r>
      <w:r w:rsidR="00A157BC" w:rsidRPr="00AA129D">
        <w:rPr>
          <w:rFonts w:ascii="Corbel" w:hAnsi="Corbel"/>
          <w:sz w:val="24"/>
          <w:szCs w:val="24"/>
        </w:rPr>
        <w:t xml:space="preserve"> challenging conversations</w:t>
      </w:r>
      <w:r w:rsidR="004D15C5">
        <w:rPr>
          <w:rFonts w:ascii="Corbel" w:hAnsi="Corbel"/>
          <w:sz w:val="24"/>
          <w:szCs w:val="24"/>
        </w:rPr>
        <w:t xml:space="preserve"> and </w:t>
      </w:r>
      <w:r w:rsidR="00A157BC" w:rsidRPr="00AA129D">
        <w:rPr>
          <w:rFonts w:ascii="Corbel" w:hAnsi="Corbel"/>
          <w:sz w:val="24"/>
          <w:szCs w:val="24"/>
        </w:rPr>
        <w:t>implement</w:t>
      </w:r>
      <w:r w:rsidR="004D15C5">
        <w:rPr>
          <w:rFonts w:ascii="Corbel" w:hAnsi="Corbel"/>
          <w:sz w:val="24"/>
          <w:szCs w:val="24"/>
        </w:rPr>
        <w:t>ing</w:t>
      </w:r>
      <w:r w:rsidR="00A157BC" w:rsidRPr="00AA129D">
        <w:rPr>
          <w:rFonts w:ascii="Corbel" w:hAnsi="Corbel"/>
          <w:sz w:val="24"/>
          <w:szCs w:val="24"/>
        </w:rPr>
        <w:t xml:space="preserve"> anti-racist practices locally</w:t>
      </w:r>
      <w:r w:rsidR="003A7664">
        <w:rPr>
          <w:rFonts w:ascii="Corbel" w:hAnsi="Corbel"/>
          <w:sz w:val="24"/>
          <w:szCs w:val="24"/>
        </w:rPr>
        <w:t>.</w:t>
      </w:r>
      <w:r w:rsidR="00A157BC" w:rsidRPr="00AA129D">
        <w:rPr>
          <w:rFonts w:ascii="Corbel" w:hAnsi="Corbel"/>
          <w:sz w:val="24"/>
          <w:szCs w:val="24"/>
        </w:rPr>
        <w:t xml:space="preserve"> </w:t>
      </w:r>
      <w:r w:rsidR="00D35EC0">
        <w:rPr>
          <w:rFonts w:ascii="Corbel" w:hAnsi="Corbel"/>
          <w:sz w:val="24"/>
          <w:szCs w:val="24"/>
        </w:rPr>
        <w:t xml:space="preserve">Future action will include the annual publication of diversity statements from our Senior Leaders. </w:t>
      </w:r>
    </w:p>
    <w:p w14:paraId="146C456A" w14:textId="766FD2AA" w:rsidR="00C01837" w:rsidRDefault="00A157BC" w:rsidP="004F2CE4">
      <w:pPr>
        <w:pStyle w:val="NoSpacing"/>
        <w:rPr>
          <w:rFonts w:ascii="Corbel" w:hAnsi="Corbel"/>
          <w:sz w:val="24"/>
          <w:szCs w:val="24"/>
        </w:rPr>
      </w:pPr>
      <w:r w:rsidRPr="00AA129D">
        <w:rPr>
          <w:rFonts w:ascii="Corbel" w:hAnsi="Corbel"/>
          <w:sz w:val="24"/>
          <w:szCs w:val="24"/>
        </w:rPr>
        <w:t xml:space="preserve">June </w:t>
      </w:r>
      <w:r w:rsidR="00C01837">
        <w:rPr>
          <w:rFonts w:ascii="Corbel" w:hAnsi="Corbel"/>
          <w:sz w:val="24"/>
          <w:szCs w:val="24"/>
        </w:rPr>
        <w:t xml:space="preserve">2022 </w:t>
      </w:r>
      <w:r w:rsidRPr="00AA129D">
        <w:rPr>
          <w:rFonts w:ascii="Corbel" w:hAnsi="Corbel"/>
          <w:sz w:val="24"/>
          <w:szCs w:val="24"/>
        </w:rPr>
        <w:t xml:space="preserve">saw the launch of the new </w:t>
      </w:r>
      <w:r w:rsidRPr="00AA129D">
        <w:rPr>
          <w:rFonts w:ascii="Corbel" w:hAnsi="Corbel"/>
          <w:b/>
          <w:bCs/>
          <w:sz w:val="24"/>
          <w:szCs w:val="24"/>
        </w:rPr>
        <w:t>EDI Calend</w:t>
      </w:r>
      <w:r w:rsidR="00154930" w:rsidRPr="00AA129D">
        <w:rPr>
          <w:rFonts w:ascii="Corbel" w:hAnsi="Corbel"/>
          <w:b/>
          <w:bCs/>
          <w:sz w:val="24"/>
          <w:szCs w:val="24"/>
        </w:rPr>
        <w:t>a</w:t>
      </w:r>
      <w:r w:rsidRPr="00AA129D">
        <w:rPr>
          <w:rFonts w:ascii="Corbel" w:hAnsi="Corbel"/>
          <w:b/>
          <w:bCs/>
          <w:sz w:val="24"/>
          <w:szCs w:val="24"/>
        </w:rPr>
        <w:t>r</w:t>
      </w:r>
      <w:r w:rsidR="00154930" w:rsidRPr="00AA129D">
        <w:rPr>
          <w:rFonts w:ascii="Corbel" w:hAnsi="Corbel"/>
          <w:sz w:val="24"/>
          <w:szCs w:val="24"/>
        </w:rPr>
        <w:t>, establishing a formal</w:t>
      </w:r>
      <w:r w:rsidR="00CA7D40" w:rsidRPr="00AA129D">
        <w:rPr>
          <w:rFonts w:ascii="Corbel" w:hAnsi="Corbel"/>
          <w:sz w:val="24"/>
          <w:szCs w:val="24"/>
        </w:rPr>
        <w:t xml:space="preserve"> centralised strategy </w:t>
      </w:r>
      <w:r w:rsidR="00154930" w:rsidRPr="00AA129D">
        <w:rPr>
          <w:rFonts w:ascii="Corbel" w:hAnsi="Corbel"/>
          <w:sz w:val="24"/>
          <w:szCs w:val="24"/>
        </w:rPr>
        <w:t xml:space="preserve">to secure financial resource and </w:t>
      </w:r>
      <w:r w:rsidR="00CA7D40" w:rsidRPr="00AA129D">
        <w:rPr>
          <w:rFonts w:ascii="Corbel" w:hAnsi="Corbel"/>
          <w:sz w:val="24"/>
          <w:szCs w:val="24"/>
        </w:rPr>
        <w:t>recognis</w:t>
      </w:r>
      <w:r w:rsidR="00154930" w:rsidRPr="00AA129D">
        <w:rPr>
          <w:rFonts w:ascii="Corbel" w:hAnsi="Corbel"/>
          <w:sz w:val="24"/>
          <w:szCs w:val="24"/>
        </w:rPr>
        <w:t>e and celebrate</w:t>
      </w:r>
      <w:r w:rsidR="00CA7D40" w:rsidRPr="00AA129D">
        <w:rPr>
          <w:rFonts w:ascii="Corbel" w:hAnsi="Corbel"/>
          <w:sz w:val="24"/>
          <w:szCs w:val="24"/>
        </w:rPr>
        <w:t xml:space="preserve"> </w:t>
      </w:r>
      <w:r w:rsidR="00154930" w:rsidRPr="00AA129D">
        <w:rPr>
          <w:rFonts w:ascii="Corbel" w:hAnsi="Corbel"/>
          <w:sz w:val="24"/>
          <w:szCs w:val="24"/>
        </w:rPr>
        <w:t xml:space="preserve">key </w:t>
      </w:r>
      <w:r w:rsidR="00CA7D40" w:rsidRPr="00AA129D">
        <w:rPr>
          <w:rFonts w:ascii="Corbel" w:hAnsi="Corbel"/>
          <w:sz w:val="24"/>
          <w:szCs w:val="24"/>
        </w:rPr>
        <w:t>EDI</w:t>
      </w:r>
      <w:r w:rsidR="00154930" w:rsidRPr="00AA129D">
        <w:rPr>
          <w:rFonts w:ascii="Corbel" w:hAnsi="Corbel"/>
          <w:sz w:val="24"/>
          <w:szCs w:val="24"/>
        </w:rPr>
        <w:t xml:space="preserve"> dates and </w:t>
      </w:r>
      <w:r w:rsidR="00CA7D40" w:rsidRPr="00AA129D">
        <w:rPr>
          <w:rFonts w:ascii="Corbel" w:hAnsi="Corbel"/>
          <w:sz w:val="24"/>
          <w:szCs w:val="24"/>
        </w:rPr>
        <w:t>events</w:t>
      </w:r>
      <w:r w:rsidR="00C01837">
        <w:rPr>
          <w:rFonts w:ascii="Corbel" w:hAnsi="Corbel"/>
          <w:sz w:val="24"/>
          <w:szCs w:val="24"/>
        </w:rPr>
        <w:t xml:space="preserve">, </w:t>
      </w:r>
      <w:r w:rsidR="00154930" w:rsidRPr="00AA129D">
        <w:rPr>
          <w:rFonts w:ascii="Corbel" w:hAnsi="Corbel"/>
          <w:sz w:val="24"/>
          <w:szCs w:val="24"/>
        </w:rPr>
        <w:t>thus supporting the development of a more cons</w:t>
      </w:r>
      <w:r w:rsidR="00C01837">
        <w:rPr>
          <w:rFonts w:ascii="Corbel" w:hAnsi="Corbel"/>
          <w:sz w:val="24"/>
          <w:szCs w:val="24"/>
        </w:rPr>
        <w:t>c</w:t>
      </w:r>
      <w:r w:rsidR="00154930" w:rsidRPr="00AA129D">
        <w:rPr>
          <w:rFonts w:ascii="Corbel" w:hAnsi="Corbel"/>
          <w:sz w:val="24"/>
          <w:szCs w:val="24"/>
        </w:rPr>
        <w:t xml:space="preserve">iously inclusive culture. </w:t>
      </w:r>
      <w:r w:rsidR="00930A7B">
        <w:rPr>
          <w:rFonts w:ascii="Corbel" w:hAnsi="Corbel"/>
          <w:sz w:val="24"/>
          <w:szCs w:val="24"/>
        </w:rPr>
        <w:t>Throughout 202</w:t>
      </w:r>
      <w:r w:rsidR="00370EC0">
        <w:rPr>
          <w:rFonts w:ascii="Corbel" w:hAnsi="Corbel"/>
          <w:sz w:val="24"/>
          <w:szCs w:val="24"/>
        </w:rPr>
        <w:t>1</w:t>
      </w:r>
      <w:r w:rsidR="00930A7B">
        <w:rPr>
          <w:rFonts w:ascii="Corbel" w:hAnsi="Corbel"/>
          <w:sz w:val="24"/>
          <w:szCs w:val="24"/>
        </w:rPr>
        <w:t>-22 we</w:t>
      </w:r>
      <w:r w:rsidR="00370EC0">
        <w:rPr>
          <w:rFonts w:ascii="Corbel" w:hAnsi="Corbel"/>
          <w:sz w:val="24"/>
          <w:szCs w:val="24"/>
        </w:rPr>
        <w:t xml:space="preserve"> marked </w:t>
      </w:r>
      <w:r w:rsidR="00930A7B">
        <w:rPr>
          <w:rFonts w:ascii="Corbel" w:hAnsi="Corbel"/>
          <w:sz w:val="24"/>
          <w:szCs w:val="24"/>
        </w:rPr>
        <w:t>a range of diversity dates and months, including</w:t>
      </w:r>
      <w:r w:rsidR="00370EC0">
        <w:rPr>
          <w:rFonts w:ascii="Corbel" w:hAnsi="Corbel"/>
          <w:sz w:val="24"/>
          <w:szCs w:val="24"/>
        </w:rPr>
        <w:t xml:space="preserve"> LGBT History Month, International Women’s Day</w:t>
      </w:r>
      <w:r w:rsidR="00D35EC0">
        <w:rPr>
          <w:rFonts w:ascii="Corbel" w:hAnsi="Corbel"/>
          <w:sz w:val="24"/>
          <w:szCs w:val="24"/>
        </w:rPr>
        <w:t xml:space="preserve"> and</w:t>
      </w:r>
      <w:r w:rsidR="00370EC0">
        <w:rPr>
          <w:rFonts w:ascii="Corbel" w:hAnsi="Corbel"/>
          <w:sz w:val="24"/>
          <w:szCs w:val="24"/>
        </w:rPr>
        <w:t xml:space="preserve"> Transgender Day of Remembrance</w:t>
      </w:r>
      <w:r w:rsidR="00D35EC0">
        <w:rPr>
          <w:rFonts w:ascii="Corbel" w:hAnsi="Corbel"/>
          <w:sz w:val="24"/>
          <w:szCs w:val="24"/>
        </w:rPr>
        <w:t xml:space="preserve"> amongst others.</w:t>
      </w:r>
    </w:p>
    <w:p w14:paraId="7A07C06E" w14:textId="77777777" w:rsidR="000A1CB7" w:rsidRDefault="000A1CB7" w:rsidP="004F2CE4">
      <w:pPr>
        <w:pStyle w:val="NoSpacing"/>
        <w:rPr>
          <w:rFonts w:ascii="Corbel" w:hAnsi="Corbel"/>
          <w:sz w:val="24"/>
          <w:szCs w:val="24"/>
        </w:rPr>
      </w:pPr>
    </w:p>
    <w:p w14:paraId="5194A5E5" w14:textId="6D0BCC30" w:rsidR="00384329" w:rsidRDefault="00370EC0" w:rsidP="00384329">
      <w:pPr>
        <w:rPr>
          <w:sz w:val="24"/>
          <w:szCs w:val="24"/>
        </w:rPr>
      </w:pPr>
      <w:r>
        <w:rPr>
          <w:rFonts w:ascii="Corbel" w:hAnsi="Corbel"/>
          <w:sz w:val="24"/>
          <w:szCs w:val="24"/>
        </w:rPr>
        <w:t>Throughout 2021 and 20</w:t>
      </w:r>
      <w:r w:rsidR="00622D32">
        <w:rPr>
          <w:rFonts w:ascii="Corbel" w:hAnsi="Corbel"/>
          <w:sz w:val="24"/>
          <w:szCs w:val="24"/>
        </w:rPr>
        <w:t>2</w:t>
      </w:r>
      <w:r>
        <w:rPr>
          <w:rFonts w:ascii="Corbel" w:hAnsi="Corbel"/>
          <w:sz w:val="24"/>
          <w:szCs w:val="24"/>
        </w:rPr>
        <w:t xml:space="preserve">2 we also worked with Comms to launch our </w:t>
      </w:r>
      <w:r w:rsidRPr="00F82EA8">
        <w:rPr>
          <w:rFonts w:ascii="Corbel" w:hAnsi="Corbel"/>
          <w:b/>
          <w:bCs/>
          <w:sz w:val="24"/>
          <w:szCs w:val="24"/>
        </w:rPr>
        <w:t>Weekly Wellbeing Focus article</w:t>
      </w:r>
      <w:r>
        <w:rPr>
          <w:rFonts w:ascii="Corbel" w:hAnsi="Corbel"/>
          <w:sz w:val="24"/>
          <w:szCs w:val="24"/>
        </w:rPr>
        <w:t xml:space="preserve">s </w:t>
      </w:r>
      <w:r w:rsidR="00F82EA8">
        <w:rPr>
          <w:rFonts w:ascii="Corbel" w:hAnsi="Corbel"/>
          <w:sz w:val="24"/>
          <w:szCs w:val="24"/>
        </w:rPr>
        <w:t xml:space="preserve">which, published in the Principal’s Newsletter, </w:t>
      </w:r>
      <w:r>
        <w:rPr>
          <w:rFonts w:ascii="Corbel" w:hAnsi="Corbel"/>
          <w:sz w:val="24"/>
          <w:szCs w:val="24"/>
        </w:rPr>
        <w:t>explored and provided guidance on a range of topics</w:t>
      </w:r>
      <w:r w:rsidR="00C86CA8">
        <w:rPr>
          <w:rFonts w:ascii="Corbel" w:hAnsi="Corbel"/>
          <w:sz w:val="24"/>
          <w:szCs w:val="24"/>
        </w:rPr>
        <w:t xml:space="preserve"> around mental and physical health, </w:t>
      </w:r>
      <w:r>
        <w:rPr>
          <w:rFonts w:ascii="Corbel" w:hAnsi="Corbel"/>
          <w:sz w:val="24"/>
          <w:szCs w:val="24"/>
        </w:rPr>
        <w:t>including</w:t>
      </w:r>
      <w:r w:rsidR="00C86CA8">
        <w:rPr>
          <w:rFonts w:ascii="Corbel" w:hAnsi="Corbel"/>
          <w:sz w:val="24"/>
          <w:szCs w:val="24"/>
        </w:rPr>
        <w:t xml:space="preserve"> a focus on for example</w:t>
      </w:r>
      <w:r>
        <w:rPr>
          <w:rFonts w:ascii="Corbel" w:hAnsi="Corbel"/>
          <w:sz w:val="24"/>
          <w:szCs w:val="24"/>
        </w:rPr>
        <w:t xml:space="preserve"> Men’s health,</w:t>
      </w:r>
      <w:r w:rsidR="00C86CA8">
        <w:rPr>
          <w:rFonts w:ascii="Corbel" w:hAnsi="Corbel"/>
          <w:sz w:val="24"/>
          <w:szCs w:val="24"/>
        </w:rPr>
        <w:t xml:space="preserve"> hybrid working and wellbeing, being stress aware, </w:t>
      </w:r>
      <w:r w:rsidR="00F82EA8">
        <w:rPr>
          <w:rFonts w:ascii="Corbel" w:hAnsi="Corbel"/>
          <w:sz w:val="24"/>
          <w:szCs w:val="24"/>
        </w:rPr>
        <w:t xml:space="preserve">and </w:t>
      </w:r>
      <w:r w:rsidR="00C86CA8">
        <w:rPr>
          <w:rFonts w:ascii="Corbel" w:hAnsi="Corbel"/>
          <w:sz w:val="24"/>
          <w:szCs w:val="24"/>
        </w:rPr>
        <w:t xml:space="preserve">the importance of empathy amongst others. The articles also marked important dates such as </w:t>
      </w:r>
      <w:r w:rsidR="00F82EA8">
        <w:rPr>
          <w:rFonts w:ascii="Corbel" w:hAnsi="Corbel"/>
          <w:sz w:val="24"/>
          <w:szCs w:val="24"/>
        </w:rPr>
        <w:t>I</w:t>
      </w:r>
      <w:r w:rsidR="00C86CA8">
        <w:rPr>
          <w:rFonts w:ascii="Corbel" w:hAnsi="Corbel"/>
          <w:sz w:val="24"/>
          <w:szCs w:val="24"/>
        </w:rPr>
        <w:t xml:space="preserve">nternational Day of Persons with Disabilities, and World Menopause Day. </w:t>
      </w:r>
      <w:r w:rsidR="00384329">
        <w:rPr>
          <w:rFonts w:ascii="Corbel" w:hAnsi="Corbel"/>
          <w:sz w:val="24"/>
          <w:szCs w:val="24"/>
        </w:rPr>
        <w:t xml:space="preserve"> </w:t>
      </w:r>
      <w:r w:rsidR="00D35EC0">
        <w:rPr>
          <w:rFonts w:ascii="Corbel" w:hAnsi="Corbel"/>
          <w:sz w:val="24"/>
          <w:szCs w:val="24"/>
        </w:rPr>
        <w:t xml:space="preserve">We have </w:t>
      </w:r>
      <w:r w:rsidR="00384329" w:rsidRPr="00384329">
        <w:rPr>
          <w:sz w:val="24"/>
          <w:szCs w:val="24"/>
        </w:rPr>
        <w:t xml:space="preserve">In 2022 we will also offer new e-learning to support stress and mental health. </w:t>
      </w:r>
    </w:p>
    <w:p w14:paraId="669C6D45" w14:textId="09DD9D61" w:rsidR="00F12DCF" w:rsidRPr="00384329" w:rsidRDefault="00F12DCF" w:rsidP="00384329">
      <w:pPr>
        <w:rPr>
          <w:sz w:val="24"/>
          <w:szCs w:val="24"/>
        </w:rPr>
      </w:pPr>
      <w:r w:rsidRPr="00F12DCF">
        <w:rPr>
          <w:sz w:val="24"/>
          <w:szCs w:val="24"/>
          <w:shd w:val="clear" w:color="auto" w:fill="C5E0B3" w:themeFill="accent6" w:themeFillTint="66"/>
        </w:rPr>
        <w:t>Looking forwards</w:t>
      </w:r>
      <w:r>
        <w:rPr>
          <w:sz w:val="24"/>
          <w:szCs w:val="24"/>
        </w:rPr>
        <w:t xml:space="preserve">, some priorities will include working further to create spaces where people feel safe and supported to share their lived experiences and enable us to build our community. </w:t>
      </w:r>
      <w:r w:rsidR="00C30920" w:rsidRPr="00C30920">
        <w:rPr>
          <w:sz w:val="24"/>
          <w:szCs w:val="24"/>
        </w:rPr>
        <w:t xml:space="preserve">Our managers play a crucial role in setting and nurturing the culture and </w:t>
      </w:r>
      <w:r w:rsidR="00C30920" w:rsidRPr="00C30920">
        <w:rPr>
          <w:sz w:val="24"/>
          <w:szCs w:val="24"/>
        </w:rPr>
        <w:lastRenderedPageBreak/>
        <w:t xml:space="preserve">environment that is needed to support everyone to be their best. </w:t>
      </w:r>
      <w:r w:rsidR="00C30920">
        <w:rPr>
          <w:sz w:val="24"/>
          <w:szCs w:val="24"/>
        </w:rPr>
        <w:t>This is why</w:t>
      </w:r>
      <w:r w:rsidR="00FD271A">
        <w:rPr>
          <w:sz w:val="24"/>
          <w:szCs w:val="24"/>
        </w:rPr>
        <w:t xml:space="preserve"> </w:t>
      </w:r>
      <w:r w:rsidR="00C30920">
        <w:rPr>
          <w:sz w:val="24"/>
          <w:szCs w:val="24"/>
        </w:rPr>
        <w:t xml:space="preserve">it is crucial that we </w:t>
      </w:r>
      <w:r>
        <w:rPr>
          <w:sz w:val="24"/>
          <w:szCs w:val="24"/>
        </w:rPr>
        <w:t>focus on further enabling our managers to develop and inclusive mindset</w:t>
      </w:r>
      <w:r w:rsidR="00FD271A">
        <w:rPr>
          <w:sz w:val="24"/>
          <w:szCs w:val="24"/>
        </w:rPr>
        <w:t>. We will also</w:t>
      </w:r>
      <w:r>
        <w:rPr>
          <w:sz w:val="24"/>
          <w:szCs w:val="24"/>
        </w:rPr>
        <w:t xml:space="preserve"> provide more support for our neurodivergent colleagues, through raising awareness…. </w:t>
      </w:r>
    </w:p>
    <w:p w14:paraId="533F4C9D" w14:textId="77777777" w:rsidR="00E52AA0" w:rsidRDefault="00E52AA0">
      <w:pPr>
        <w:rPr>
          <w:rFonts w:ascii="Corbel" w:hAnsi="Corbel"/>
          <w:sz w:val="24"/>
          <w:szCs w:val="24"/>
        </w:rPr>
      </w:pPr>
    </w:p>
    <w:p w14:paraId="009D1124" w14:textId="6DFB0D6F" w:rsidR="00684EA0" w:rsidRPr="00E52AA0" w:rsidRDefault="00E52AA0" w:rsidP="00344F03">
      <w:pPr>
        <w:pStyle w:val="Heading3"/>
        <w:numPr>
          <w:ilvl w:val="0"/>
          <w:numId w:val="24"/>
        </w:numPr>
      </w:pPr>
      <w:r w:rsidRPr="00E52AA0">
        <w:t>Development and progression</w:t>
      </w:r>
    </w:p>
    <w:p w14:paraId="09EBF280" w14:textId="16F12789" w:rsidR="00684EA0" w:rsidRPr="00E52AA0" w:rsidRDefault="00250FC0" w:rsidP="00684EA0">
      <w:pPr>
        <w:rPr>
          <w:rFonts w:ascii="Corbel" w:hAnsi="Corbel"/>
          <w:sz w:val="24"/>
          <w:szCs w:val="24"/>
        </w:rPr>
      </w:pPr>
      <w:r w:rsidRPr="00E52AA0">
        <w:rPr>
          <w:rFonts w:ascii="Corbel" w:hAnsi="Corbel"/>
          <w:sz w:val="24"/>
          <w:szCs w:val="24"/>
        </w:rPr>
        <w:t>We continued to offer t</w:t>
      </w:r>
      <w:r w:rsidR="00684EA0" w:rsidRPr="00E52AA0">
        <w:rPr>
          <w:rFonts w:ascii="Corbel" w:hAnsi="Corbel"/>
          <w:sz w:val="24"/>
          <w:szCs w:val="24"/>
        </w:rPr>
        <w:t xml:space="preserve">he </w:t>
      </w:r>
      <w:r w:rsidR="00684EA0" w:rsidRPr="00E52AA0">
        <w:rPr>
          <w:rFonts w:ascii="Corbel" w:hAnsi="Corbel"/>
          <w:b/>
          <w:bCs/>
          <w:sz w:val="24"/>
          <w:szCs w:val="24"/>
        </w:rPr>
        <w:t>Mandala Programme</w:t>
      </w:r>
      <w:r w:rsidRPr="00E52AA0">
        <w:rPr>
          <w:rFonts w:ascii="Corbel" w:hAnsi="Corbel"/>
          <w:b/>
          <w:bCs/>
          <w:sz w:val="24"/>
          <w:szCs w:val="24"/>
        </w:rPr>
        <w:t xml:space="preserve"> </w:t>
      </w:r>
      <w:r w:rsidRPr="00E52AA0">
        <w:rPr>
          <w:rFonts w:ascii="Corbel" w:hAnsi="Corbel"/>
          <w:sz w:val="24"/>
          <w:szCs w:val="24"/>
        </w:rPr>
        <w:t xml:space="preserve">2021-2022. This is an </w:t>
      </w:r>
      <w:r w:rsidR="00684EA0" w:rsidRPr="00E52AA0">
        <w:rPr>
          <w:rFonts w:ascii="Corbel" w:hAnsi="Corbel"/>
          <w:sz w:val="24"/>
          <w:szCs w:val="24"/>
        </w:rPr>
        <w:t xml:space="preserve">innovative, evidence based and paradigm-shifting programme that supports the career and personal development of Black and </w:t>
      </w:r>
      <w:r w:rsidRPr="00E52AA0">
        <w:rPr>
          <w:rFonts w:ascii="Corbel" w:hAnsi="Corbel"/>
          <w:sz w:val="24"/>
          <w:szCs w:val="24"/>
        </w:rPr>
        <w:t>g</w:t>
      </w:r>
      <w:r w:rsidR="00684EA0" w:rsidRPr="00E52AA0">
        <w:rPr>
          <w:rFonts w:ascii="Corbel" w:hAnsi="Corbel"/>
          <w:sz w:val="24"/>
          <w:szCs w:val="24"/>
        </w:rPr>
        <w:t xml:space="preserve">lobal </w:t>
      </w:r>
      <w:r w:rsidRPr="00E52AA0">
        <w:rPr>
          <w:rFonts w:ascii="Corbel" w:hAnsi="Corbel"/>
          <w:sz w:val="24"/>
          <w:szCs w:val="24"/>
        </w:rPr>
        <w:t>m</w:t>
      </w:r>
      <w:r w:rsidR="00684EA0" w:rsidRPr="00E52AA0">
        <w:rPr>
          <w:rFonts w:ascii="Corbel" w:hAnsi="Corbel"/>
          <w:sz w:val="24"/>
          <w:szCs w:val="24"/>
        </w:rPr>
        <w:t xml:space="preserve">ajority </w:t>
      </w:r>
      <w:r w:rsidRPr="00E52AA0">
        <w:rPr>
          <w:rFonts w:ascii="Corbel" w:hAnsi="Corbel"/>
          <w:sz w:val="24"/>
          <w:szCs w:val="24"/>
        </w:rPr>
        <w:t>colleagues</w:t>
      </w:r>
      <w:r w:rsidR="00684EA0" w:rsidRPr="00E52AA0">
        <w:rPr>
          <w:rFonts w:ascii="Corbel" w:hAnsi="Corbel"/>
          <w:sz w:val="24"/>
          <w:szCs w:val="24"/>
        </w:rPr>
        <w:t xml:space="preserve"> seeking to progress in their career at Royal Holloway.  Twenty-two academic and professional services colleagues have completed the course the last two years, with a further 6 </w:t>
      </w:r>
      <w:r w:rsidRPr="00E52AA0">
        <w:rPr>
          <w:rFonts w:ascii="Corbel" w:hAnsi="Corbel"/>
          <w:sz w:val="24"/>
          <w:szCs w:val="24"/>
        </w:rPr>
        <w:t xml:space="preserve">individuals </w:t>
      </w:r>
      <w:r w:rsidR="00684EA0" w:rsidRPr="00E52AA0">
        <w:rPr>
          <w:rFonts w:ascii="Corbel" w:hAnsi="Corbel"/>
          <w:sz w:val="24"/>
          <w:szCs w:val="24"/>
        </w:rPr>
        <w:t>participating in 2022.  We will carry out a formal assessment of the impact of this course in 202</w:t>
      </w:r>
      <w:r w:rsidRPr="00E52AA0">
        <w:rPr>
          <w:rFonts w:ascii="Corbel" w:hAnsi="Corbel"/>
          <w:sz w:val="24"/>
          <w:szCs w:val="24"/>
        </w:rPr>
        <w:t>3</w:t>
      </w:r>
      <w:r w:rsidR="00684EA0" w:rsidRPr="00E52AA0">
        <w:rPr>
          <w:rFonts w:ascii="Corbel" w:hAnsi="Corbel"/>
          <w:sz w:val="24"/>
          <w:szCs w:val="24"/>
        </w:rPr>
        <w:t>.</w:t>
      </w:r>
    </w:p>
    <w:p w14:paraId="3BC2DC89" w14:textId="50E427B0" w:rsidR="00684EA0" w:rsidRPr="00E52AA0" w:rsidRDefault="00250FC0" w:rsidP="00684EA0">
      <w:pPr>
        <w:rPr>
          <w:rFonts w:ascii="Corbel" w:hAnsi="Corbel"/>
          <w:sz w:val="24"/>
          <w:szCs w:val="24"/>
        </w:rPr>
      </w:pPr>
      <w:r w:rsidRPr="00E52AA0">
        <w:rPr>
          <w:rFonts w:ascii="Corbel" w:hAnsi="Corbel"/>
          <w:sz w:val="24"/>
          <w:szCs w:val="24"/>
        </w:rPr>
        <w:t>We also offer</w:t>
      </w:r>
      <w:r w:rsidR="00E51FC9">
        <w:rPr>
          <w:rFonts w:ascii="Corbel" w:hAnsi="Corbel"/>
          <w:sz w:val="24"/>
          <w:szCs w:val="24"/>
        </w:rPr>
        <w:t>ed</w:t>
      </w:r>
      <w:r w:rsidRPr="00E52AA0">
        <w:rPr>
          <w:rFonts w:ascii="Corbel" w:hAnsi="Corbel"/>
          <w:sz w:val="24"/>
          <w:szCs w:val="24"/>
        </w:rPr>
        <w:t xml:space="preserve"> the </w:t>
      </w:r>
      <w:r w:rsidR="00684EA0" w:rsidRPr="00E52AA0">
        <w:rPr>
          <w:rFonts w:ascii="Corbel" w:hAnsi="Corbel"/>
          <w:b/>
          <w:bCs/>
          <w:sz w:val="24"/>
          <w:szCs w:val="24"/>
        </w:rPr>
        <w:t>Enabling Women through the Academic Promotions Process</w:t>
      </w:r>
      <w:r w:rsidR="00684EA0" w:rsidRPr="00E52AA0">
        <w:rPr>
          <w:rFonts w:ascii="Corbel" w:hAnsi="Corbel"/>
          <w:sz w:val="24"/>
          <w:szCs w:val="24"/>
        </w:rPr>
        <w:t xml:space="preserve"> programme, designed to close the gender gap, consists of three half day workshops targeting women academics at Senior Lecturer or Reader level seeking to apply for promotion in the next few years.  The programme won the Outstanding Contribution to Leadership Development award at the prestigious </w:t>
      </w:r>
      <w:r w:rsidR="00684EA0" w:rsidRPr="00E52AA0">
        <w:rPr>
          <w:rFonts w:ascii="Corbel" w:hAnsi="Corbel"/>
          <w:i/>
          <w:iCs/>
          <w:sz w:val="24"/>
          <w:szCs w:val="24"/>
        </w:rPr>
        <w:t>Times Higher Education </w:t>
      </w:r>
      <w:r w:rsidR="00684EA0" w:rsidRPr="00E52AA0">
        <w:rPr>
          <w:rFonts w:ascii="Corbel" w:hAnsi="Corbel"/>
          <w:sz w:val="24"/>
          <w:szCs w:val="24"/>
        </w:rPr>
        <w:t xml:space="preserve">Awards in 2016.  To date 64 colleagues have completed this course. </w:t>
      </w:r>
    </w:p>
    <w:p w14:paraId="3D934AE9" w14:textId="0999B917" w:rsidR="00684EA0" w:rsidRDefault="00684EA0" w:rsidP="00684EA0">
      <w:pPr>
        <w:spacing w:after="0" w:line="240" w:lineRule="auto"/>
        <w:rPr>
          <w:rFonts w:ascii="Corbel" w:eastAsiaTheme="minorEastAsia" w:hAnsi="Corbel" w:cstheme="minorHAnsi"/>
          <w:color w:val="000000" w:themeColor="text1"/>
          <w:kern w:val="24"/>
          <w:sz w:val="24"/>
          <w:szCs w:val="24"/>
          <w:lang w:eastAsia="en-GB"/>
        </w:rPr>
      </w:pPr>
      <w:r w:rsidRPr="00E52AA0">
        <w:rPr>
          <w:rFonts w:ascii="Corbel" w:hAnsi="Corbel" w:cstheme="minorHAnsi"/>
          <w:sz w:val="24"/>
          <w:szCs w:val="24"/>
        </w:rPr>
        <w:t xml:space="preserve">Analysis of </w:t>
      </w:r>
      <w:r w:rsidR="00F12DCF">
        <w:rPr>
          <w:rFonts w:ascii="Corbel" w:hAnsi="Corbel" w:cstheme="minorHAnsi"/>
          <w:sz w:val="24"/>
          <w:szCs w:val="24"/>
        </w:rPr>
        <w:t xml:space="preserve">promotion </w:t>
      </w:r>
      <w:r w:rsidRPr="00E52AA0">
        <w:rPr>
          <w:rFonts w:ascii="Corbel" w:hAnsi="Corbel" w:cstheme="minorHAnsi"/>
          <w:sz w:val="24"/>
          <w:szCs w:val="24"/>
        </w:rPr>
        <w:t xml:space="preserve">data </w:t>
      </w:r>
      <w:r w:rsidR="00831FE1">
        <w:rPr>
          <w:rFonts w:ascii="Corbel" w:hAnsi="Corbel" w:cstheme="minorHAnsi"/>
          <w:sz w:val="24"/>
          <w:szCs w:val="24"/>
        </w:rPr>
        <w:t xml:space="preserve">was discussed at our Development and </w:t>
      </w:r>
      <w:r w:rsidR="00AF1B74">
        <w:rPr>
          <w:rFonts w:ascii="Corbel" w:hAnsi="Corbel" w:cstheme="minorHAnsi"/>
          <w:sz w:val="24"/>
          <w:szCs w:val="24"/>
        </w:rPr>
        <w:t>P</w:t>
      </w:r>
      <w:r w:rsidR="00831FE1">
        <w:rPr>
          <w:rFonts w:ascii="Corbel" w:hAnsi="Corbel" w:cstheme="minorHAnsi"/>
          <w:sz w:val="24"/>
          <w:szCs w:val="24"/>
        </w:rPr>
        <w:t xml:space="preserve">rogression strategy working group and shows that </w:t>
      </w:r>
      <w:r w:rsidRPr="00E52AA0">
        <w:rPr>
          <w:rFonts w:ascii="Corbel" w:hAnsi="Corbel" w:cstheme="minorHAnsi"/>
          <w:sz w:val="24"/>
          <w:szCs w:val="24"/>
        </w:rPr>
        <w:t>further targeted work is needed. For example, t</w:t>
      </w:r>
      <w:r w:rsidRPr="00E52AA0">
        <w:rPr>
          <w:rFonts w:ascii="Corbel" w:eastAsiaTheme="minorEastAsia" w:hAnsi="Corbel" w:cstheme="minorHAnsi"/>
          <w:color w:val="000000" w:themeColor="text1"/>
          <w:kern w:val="24"/>
          <w:sz w:val="24"/>
          <w:szCs w:val="24"/>
          <w:lang w:eastAsia="en-GB"/>
        </w:rPr>
        <w:t>here is under-representation in the professoriate for women</w:t>
      </w:r>
      <w:r w:rsidR="00250FC0" w:rsidRPr="00E52AA0">
        <w:rPr>
          <w:rFonts w:ascii="Corbel" w:eastAsiaTheme="minorEastAsia" w:hAnsi="Corbel" w:cstheme="minorHAnsi"/>
          <w:color w:val="000000" w:themeColor="text1"/>
          <w:kern w:val="24"/>
          <w:sz w:val="24"/>
          <w:szCs w:val="24"/>
          <w:lang w:eastAsia="en-GB"/>
        </w:rPr>
        <w:t>,</w:t>
      </w:r>
      <w:r w:rsidRPr="00E52AA0">
        <w:rPr>
          <w:rFonts w:ascii="Corbel" w:eastAsiaTheme="minorEastAsia" w:hAnsi="Corbel" w:cstheme="minorHAnsi"/>
          <w:color w:val="000000" w:themeColor="text1"/>
          <w:kern w:val="24"/>
          <w:sz w:val="24"/>
          <w:szCs w:val="24"/>
          <w:lang w:eastAsia="en-GB"/>
        </w:rPr>
        <w:t xml:space="preserve"> and </w:t>
      </w:r>
      <w:r w:rsidR="00831FE1">
        <w:rPr>
          <w:rFonts w:ascii="Corbel" w:eastAsiaTheme="minorEastAsia" w:hAnsi="Corbel" w:cstheme="minorHAnsi"/>
          <w:color w:val="000000" w:themeColor="text1"/>
          <w:kern w:val="24"/>
          <w:sz w:val="24"/>
          <w:szCs w:val="24"/>
          <w:lang w:eastAsia="en-GB"/>
        </w:rPr>
        <w:t xml:space="preserve">colleagues from </w:t>
      </w:r>
      <w:r w:rsidRPr="00E52AA0">
        <w:rPr>
          <w:rFonts w:ascii="Corbel" w:eastAsiaTheme="minorEastAsia" w:hAnsi="Corbel" w:cstheme="minorHAnsi"/>
          <w:color w:val="000000" w:themeColor="text1"/>
          <w:kern w:val="24"/>
          <w:sz w:val="24"/>
          <w:szCs w:val="24"/>
          <w:lang w:eastAsia="en-GB"/>
        </w:rPr>
        <w:t xml:space="preserve">Black and </w:t>
      </w:r>
      <w:r w:rsidR="00250FC0" w:rsidRPr="00E52AA0">
        <w:rPr>
          <w:rFonts w:ascii="Corbel" w:eastAsiaTheme="minorEastAsia" w:hAnsi="Corbel" w:cstheme="minorHAnsi"/>
          <w:color w:val="000000" w:themeColor="text1"/>
          <w:kern w:val="24"/>
          <w:sz w:val="24"/>
          <w:szCs w:val="24"/>
          <w:lang w:eastAsia="en-GB"/>
        </w:rPr>
        <w:t>g</w:t>
      </w:r>
      <w:r w:rsidRPr="00E52AA0">
        <w:rPr>
          <w:rFonts w:ascii="Corbel" w:eastAsiaTheme="minorEastAsia" w:hAnsi="Corbel" w:cstheme="minorHAnsi"/>
          <w:color w:val="000000" w:themeColor="text1"/>
          <w:kern w:val="24"/>
          <w:sz w:val="24"/>
          <w:szCs w:val="24"/>
          <w:lang w:eastAsia="en-GB"/>
        </w:rPr>
        <w:t xml:space="preserve">lobal </w:t>
      </w:r>
      <w:r w:rsidR="00250FC0" w:rsidRPr="00E52AA0">
        <w:rPr>
          <w:rFonts w:ascii="Corbel" w:eastAsiaTheme="minorEastAsia" w:hAnsi="Corbel" w:cstheme="minorHAnsi"/>
          <w:color w:val="000000" w:themeColor="text1"/>
          <w:kern w:val="24"/>
          <w:sz w:val="24"/>
          <w:szCs w:val="24"/>
          <w:lang w:eastAsia="en-GB"/>
        </w:rPr>
        <w:t>m</w:t>
      </w:r>
      <w:r w:rsidRPr="00E52AA0">
        <w:rPr>
          <w:rFonts w:ascii="Corbel" w:eastAsiaTheme="minorEastAsia" w:hAnsi="Corbel" w:cstheme="minorHAnsi"/>
          <w:color w:val="000000" w:themeColor="text1"/>
          <w:kern w:val="24"/>
          <w:sz w:val="24"/>
          <w:szCs w:val="24"/>
          <w:lang w:eastAsia="en-GB"/>
        </w:rPr>
        <w:t xml:space="preserve">ajority </w:t>
      </w:r>
      <w:r w:rsidR="00831FE1">
        <w:rPr>
          <w:rFonts w:ascii="Corbel" w:eastAsiaTheme="minorEastAsia" w:hAnsi="Corbel" w:cstheme="minorHAnsi"/>
          <w:color w:val="000000" w:themeColor="text1"/>
          <w:kern w:val="24"/>
          <w:sz w:val="24"/>
          <w:szCs w:val="24"/>
          <w:lang w:eastAsia="en-GB"/>
        </w:rPr>
        <w:t>backgrounds</w:t>
      </w:r>
      <w:r w:rsidRPr="00E52AA0">
        <w:rPr>
          <w:rFonts w:ascii="Corbel" w:eastAsiaTheme="minorEastAsia" w:hAnsi="Corbel" w:cstheme="minorHAnsi"/>
          <w:color w:val="000000" w:themeColor="text1"/>
          <w:kern w:val="24"/>
          <w:sz w:val="24"/>
          <w:szCs w:val="24"/>
          <w:lang w:eastAsia="en-GB"/>
        </w:rPr>
        <w:t>.</w:t>
      </w:r>
      <w:r w:rsidR="00250FC0" w:rsidRPr="00E52AA0">
        <w:rPr>
          <w:rFonts w:ascii="Corbel" w:eastAsiaTheme="minorEastAsia" w:hAnsi="Corbel" w:cstheme="minorHAnsi"/>
          <w:color w:val="000000" w:themeColor="text1"/>
          <w:kern w:val="24"/>
          <w:sz w:val="24"/>
          <w:szCs w:val="24"/>
          <w:lang w:eastAsia="en-GB"/>
        </w:rPr>
        <w:t xml:space="preserve"> Colleagues from </w:t>
      </w:r>
      <w:r w:rsidRPr="00E52AA0">
        <w:rPr>
          <w:rFonts w:ascii="Corbel" w:eastAsiaTheme="minorEastAsia" w:hAnsi="Corbel" w:cstheme="minorHAnsi"/>
          <w:color w:val="000000" w:themeColor="text1"/>
          <w:kern w:val="24"/>
          <w:sz w:val="24"/>
          <w:szCs w:val="24"/>
          <w:lang w:eastAsia="en-GB"/>
        </w:rPr>
        <w:t xml:space="preserve">Black and </w:t>
      </w:r>
      <w:r w:rsidR="00250FC0" w:rsidRPr="00E52AA0">
        <w:rPr>
          <w:rFonts w:ascii="Corbel" w:eastAsiaTheme="minorEastAsia" w:hAnsi="Corbel" w:cstheme="minorHAnsi"/>
          <w:color w:val="000000" w:themeColor="text1"/>
          <w:kern w:val="24"/>
          <w:sz w:val="24"/>
          <w:szCs w:val="24"/>
          <w:lang w:eastAsia="en-GB"/>
        </w:rPr>
        <w:t>g</w:t>
      </w:r>
      <w:r w:rsidRPr="00E52AA0">
        <w:rPr>
          <w:rFonts w:ascii="Corbel" w:eastAsiaTheme="minorEastAsia" w:hAnsi="Corbel" w:cstheme="minorHAnsi"/>
          <w:color w:val="000000" w:themeColor="text1"/>
          <w:kern w:val="24"/>
          <w:sz w:val="24"/>
          <w:szCs w:val="24"/>
          <w:lang w:eastAsia="en-GB"/>
        </w:rPr>
        <w:t xml:space="preserve">lobal </w:t>
      </w:r>
      <w:r w:rsidR="00250FC0" w:rsidRPr="00E52AA0">
        <w:rPr>
          <w:rFonts w:ascii="Corbel" w:eastAsiaTheme="minorEastAsia" w:hAnsi="Corbel" w:cstheme="minorHAnsi"/>
          <w:color w:val="000000" w:themeColor="text1"/>
          <w:kern w:val="24"/>
          <w:sz w:val="24"/>
          <w:szCs w:val="24"/>
          <w:lang w:eastAsia="en-GB"/>
        </w:rPr>
        <w:t>m</w:t>
      </w:r>
      <w:r w:rsidRPr="00E52AA0">
        <w:rPr>
          <w:rFonts w:ascii="Corbel" w:eastAsiaTheme="minorEastAsia" w:hAnsi="Corbel" w:cstheme="minorHAnsi"/>
          <w:color w:val="000000" w:themeColor="text1"/>
          <w:kern w:val="24"/>
          <w:sz w:val="24"/>
          <w:szCs w:val="24"/>
          <w:lang w:eastAsia="en-GB"/>
        </w:rPr>
        <w:t xml:space="preserve">ajority </w:t>
      </w:r>
      <w:r w:rsidR="00250FC0" w:rsidRPr="00E52AA0">
        <w:rPr>
          <w:rFonts w:ascii="Corbel" w:eastAsiaTheme="minorEastAsia" w:hAnsi="Corbel" w:cstheme="minorHAnsi"/>
          <w:color w:val="000000" w:themeColor="text1"/>
          <w:kern w:val="24"/>
          <w:sz w:val="24"/>
          <w:szCs w:val="24"/>
          <w:lang w:eastAsia="en-GB"/>
        </w:rPr>
        <w:t xml:space="preserve">backgrounds </w:t>
      </w:r>
      <w:r w:rsidRPr="00E52AA0">
        <w:rPr>
          <w:rFonts w:ascii="Corbel" w:eastAsiaTheme="minorEastAsia" w:hAnsi="Corbel" w:cstheme="minorHAnsi"/>
          <w:color w:val="000000" w:themeColor="text1"/>
          <w:kern w:val="24"/>
          <w:sz w:val="24"/>
          <w:szCs w:val="24"/>
          <w:lang w:eastAsia="en-GB"/>
        </w:rPr>
        <w:t>are also underrepresented in professional services roles</w:t>
      </w:r>
      <w:r w:rsidR="00AF1B74">
        <w:rPr>
          <w:rFonts w:ascii="Corbel" w:eastAsiaTheme="minorEastAsia" w:hAnsi="Corbel" w:cstheme="minorHAnsi"/>
          <w:color w:val="000000" w:themeColor="text1"/>
          <w:kern w:val="24"/>
          <w:sz w:val="24"/>
          <w:szCs w:val="24"/>
          <w:lang w:eastAsia="en-GB"/>
        </w:rPr>
        <w:t xml:space="preserve"> for grades 9 and 10</w:t>
      </w:r>
      <w:r w:rsidRPr="00E52AA0">
        <w:rPr>
          <w:rFonts w:ascii="Corbel" w:eastAsiaTheme="minorEastAsia" w:hAnsi="Corbel" w:cstheme="minorHAnsi"/>
          <w:color w:val="000000" w:themeColor="text1"/>
          <w:kern w:val="24"/>
          <w:sz w:val="24"/>
          <w:szCs w:val="24"/>
          <w:lang w:eastAsia="en-GB"/>
        </w:rPr>
        <w:t>.</w:t>
      </w:r>
      <w:r w:rsidRPr="00E52AA0">
        <w:rPr>
          <w:rFonts w:ascii="Corbel" w:eastAsiaTheme="minorEastAsia" w:hAnsi="Corbel" w:cstheme="minorHAnsi"/>
          <w:color w:val="000000" w:themeColor="text1"/>
          <w:kern w:val="24"/>
          <w:sz w:val="24"/>
          <w:szCs w:val="24"/>
        </w:rPr>
        <w:t xml:space="preserve"> </w:t>
      </w:r>
      <w:r w:rsidRPr="00E52AA0">
        <w:rPr>
          <w:rFonts w:ascii="Corbel" w:eastAsiaTheme="minorEastAsia" w:hAnsi="Corbel" w:cstheme="minorHAnsi"/>
          <w:color w:val="000000" w:themeColor="text1"/>
          <w:kern w:val="24"/>
          <w:sz w:val="24"/>
          <w:szCs w:val="24"/>
          <w:lang w:eastAsia="en-GB"/>
        </w:rPr>
        <w:t xml:space="preserve">Fair representation of Black and </w:t>
      </w:r>
      <w:r w:rsidR="00250FC0" w:rsidRPr="00E52AA0">
        <w:rPr>
          <w:rFonts w:ascii="Corbel" w:eastAsiaTheme="minorEastAsia" w:hAnsi="Corbel" w:cstheme="minorHAnsi"/>
          <w:color w:val="000000" w:themeColor="text1"/>
          <w:kern w:val="24"/>
          <w:sz w:val="24"/>
          <w:szCs w:val="24"/>
          <w:lang w:eastAsia="en-GB"/>
        </w:rPr>
        <w:t>g</w:t>
      </w:r>
      <w:r w:rsidRPr="00E52AA0">
        <w:rPr>
          <w:rFonts w:ascii="Corbel" w:eastAsiaTheme="minorEastAsia" w:hAnsi="Corbel" w:cstheme="minorHAnsi"/>
          <w:color w:val="000000" w:themeColor="text1"/>
          <w:kern w:val="24"/>
          <w:sz w:val="24"/>
          <w:szCs w:val="24"/>
          <w:lang w:eastAsia="en-GB"/>
        </w:rPr>
        <w:t xml:space="preserve">lobal majority staff at senior levels is also very slow to change, and action is needed to address markedly lower success rates in </w:t>
      </w:r>
      <w:r w:rsidR="00831FE1">
        <w:rPr>
          <w:rFonts w:ascii="Corbel" w:eastAsiaTheme="minorEastAsia" w:hAnsi="Corbel" w:cstheme="minorHAnsi"/>
          <w:color w:val="000000" w:themeColor="text1"/>
          <w:kern w:val="24"/>
          <w:sz w:val="24"/>
          <w:szCs w:val="24"/>
          <w:lang w:eastAsia="en-GB"/>
        </w:rPr>
        <w:t xml:space="preserve">the academic </w:t>
      </w:r>
      <w:r w:rsidRPr="00E52AA0">
        <w:rPr>
          <w:rFonts w:ascii="Corbel" w:eastAsiaTheme="minorEastAsia" w:hAnsi="Corbel" w:cstheme="minorHAnsi"/>
          <w:color w:val="000000" w:themeColor="text1"/>
          <w:kern w:val="24"/>
          <w:sz w:val="24"/>
          <w:szCs w:val="24"/>
          <w:lang w:eastAsia="en-GB"/>
        </w:rPr>
        <w:t>promotion</w:t>
      </w:r>
      <w:r w:rsidR="00831FE1">
        <w:rPr>
          <w:rFonts w:ascii="Corbel" w:eastAsiaTheme="minorEastAsia" w:hAnsi="Corbel" w:cstheme="minorHAnsi"/>
          <w:color w:val="000000" w:themeColor="text1"/>
          <w:kern w:val="24"/>
          <w:sz w:val="24"/>
          <w:szCs w:val="24"/>
          <w:lang w:eastAsia="en-GB"/>
        </w:rPr>
        <w:t xml:space="preserve"> process</w:t>
      </w:r>
      <w:r w:rsidRPr="00E52AA0">
        <w:rPr>
          <w:rFonts w:ascii="Corbel" w:eastAsiaTheme="minorEastAsia" w:hAnsi="Corbel" w:cstheme="minorHAnsi"/>
          <w:color w:val="000000" w:themeColor="text1"/>
          <w:kern w:val="24"/>
          <w:sz w:val="24"/>
          <w:szCs w:val="24"/>
          <w:lang w:eastAsia="en-GB"/>
        </w:rPr>
        <w:t>.</w:t>
      </w:r>
    </w:p>
    <w:p w14:paraId="6051E0CA" w14:textId="77777777" w:rsidR="00F12DCF" w:rsidRDefault="00F12DCF" w:rsidP="00684EA0">
      <w:pPr>
        <w:spacing w:after="0" w:line="240" w:lineRule="auto"/>
        <w:rPr>
          <w:rFonts w:ascii="Corbel" w:eastAsiaTheme="minorEastAsia" w:hAnsi="Corbel" w:cstheme="minorHAnsi"/>
          <w:color w:val="000000" w:themeColor="text1"/>
          <w:kern w:val="24"/>
          <w:sz w:val="24"/>
          <w:szCs w:val="24"/>
          <w:lang w:eastAsia="en-GB"/>
        </w:rPr>
      </w:pPr>
    </w:p>
    <w:p w14:paraId="3C3C2E5C" w14:textId="695E597B" w:rsidR="00F12DCF" w:rsidRDefault="00F12DCF" w:rsidP="00684EA0">
      <w:pPr>
        <w:spacing w:after="0" w:line="240" w:lineRule="auto"/>
        <w:rPr>
          <w:rFonts w:ascii="Corbel" w:eastAsiaTheme="minorEastAsia" w:hAnsi="Corbel" w:cstheme="minorHAnsi"/>
          <w:color w:val="000000" w:themeColor="text1"/>
          <w:kern w:val="24"/>
          <w:sz w:val="24"/>
          <w:szCs w:val="24"/>
          <w:lang w:eastAsia="en-GB"/>
        </w:rPr>
      </w:pPr>
      <w:r w:rsidRPr="00C82238">
        <w:rPr>
          <w:rFonts w:ascii="Corbel" w:eastAsiaTheme="minorEastAsia" w:hAnsi="Corbel" w:cstheme="minorHAnsi"/>
          <w:color w:val="000000" w:themeColor="text1"/>
          <w:kern w:val="24"/>
          <w:sz w:val="24"/>
          <w:szCs w:val="24"/>
          <w:shd w:val="clear" w:color="auto" w:fill="C5E0B3" w:themeFill="accent6" w:themeFillTint="66"/>
          <w:lang w:eastAsia="en-GB"/>
        </w:rPr>
        <w:t>Looking forwards</w:t>
      </w:r>
      <w:r>
        <w:rPr>
          <w:rFonts w:ascii="Corbel" w:eastAsiaTheme="minorEastAsia" w:hAnsi="Corbel" w:cstheme="minorHAnsi"/>
          <w:color w:val="000000" w:themeColor="text1"/>
          <w:kern w:val="24"/>
          <w:sz w:val="24"/>
          <w:szCs w:val="24"/>
          <w:lang w:eastAsia="en-GB"/>
        </w:rPr>
        <w:t xml:space="preserve"> some key priorities will be to review our academic promotions process to ensure it is fair</w:t>
      </w:r>
      <w:r w:rsidR="00AF1B74">
        <w:rPr>
          <w:rFonts w:ascii="Corbel" w:eastAsiaTheme="minorEastAsia" w:hAnsi="Corbel" w:cstheme="minorHAnsi"/>
          <w:color w:val="000000" w:themeColor="text1"/>
          <w:kern w:val="24"/>
          <w:sz w:val="24"/>
          <w:szCs w:val="24"/>
          <w:lang w:eastAsia="en-GB"/>
        </w:rPr>
        <w:t>,</w:t>
      </w:r>
      <w:r>
        <w:rPr>
          <w:rFonts w:ascii="Corbel" w:eastAsiaTheme="minorEastAsia" w:hAnsi="Corbel" w:cstheme="minorHAnsi"/>
          <w:color w:val="000000" w:themeColor="text1"/>
          <w:kern w:val="24"/>
          <w:sz w:val="24"/>
          <w:szCs w:val="24"/>
          <w:lang w:eastAsia="en-GB"/>
        </w:rPr>
        <w:t xml:space="preserve"> and focus on supporting our professional services colleagues in terms of development and progression.</w:t>
      </w:r>
      <w:r w:rsidR="00C30920">
        <w:rPr>
          <w:rFonts w:ascii="Corbel" w:eastAsiaTheme="minorEastAsia" w:hAnsi="Corbel" w:cstheme="minorHAnsi"/>
          <w:color w:val="000000" w:themeColor="text1"/>
          <w:kern w:val="24"/>
          <w:sz w:val="24"/>
          <w:szCs w:val="24"/>
          <w:lang w:eastAsia="en-GB"/>
        </w:rPr>
        <w:t xml:space="preserve"> </w:t>
      </w:r>
    </w:p>
    <w:p w14:paraId="294B139F" w14:textId="77777777" w:rsidR="006215B3" w:rsidRDefault="006215B3" w:rsidP="00684EA0">
      <w:pPr>
        <w:spacing w:after="0" w:line="240" w:lineRule="auto"/>
        <w:rPr>
          <w:rFonts w:ascii="Corbel" w:eastAsiaTheme="minorEastAsia" w:hAnsi="Corbel" w:cstheme="minorHAnsi"/>
          <w:color w:val="000000" w:themeColor="text1"/>
          <w:kern w:val="24"/>
          <w:sz w:val="24"/>
          <w:szCs w:val="24"/>
          <w:lang w:eastAsia="en-GB"/>
        </w:rPr>
      </w:pPr>
    </w:p>
    <w:p w14:paraId="42F51F6B" w14:textId="4BC9B151" w:rsidR="006215B3" w:rsidRPr="0059036F" w:rsidRDefault="006215B3" w:rsidP="00831FE1">
      <w:pPr>
        <w:pStyle w:val="ListParagraph"/>
        <w:numPr>
          <w:ilvl w:val="0"/>
          <w:numId w:val="9"/>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ind w:left="360"/>
        <w:rPr>
          <w:rFonts w:eastAsiaTheme="minorEastAsia" w:cstheme="minorHAnsi"/>
          <w:color w:val="000000" w:themeColor="text1"/>
          <w:kern w:val="24"/>
          <w:sz w:val="24"/>
          <w:szCs w:val="24"/>
          <w:lang w:eastAsia="en-GB"/>
        </w:rPr>
      </w:pPr>
      <w:r w:rsidRPr="0059036F">
        <w:rPr>
          <w:rFonts w:eastAsiaTheme="minorEastAsia" w:cstheme="minorHAnsi"/>
          <w:color w:val="000000" w:themeColor="text1"/>
          <w:kern w:val="24"/>
          <w:sz w:val="24"/>
          <w:szCs w:val="24"/>
          <w:lang w:eastAsia="en-GB"/>
        </w:rPr>
        <w:t xml:space="preserve">A significantly smaller proportion of women apply for professor than the population average, though the proportion applying for reader has increased to above the population average.  </w:t>
      </w:r>
      <w:r w:rsidRPr="0059036F">
        <w:rPr>
          <w:rFonts w:ascii="Arial" w:eastAsiaTheme="minorEastAsia" w:hAnsi="Arial" w:cs="Arial"/>
          <w:color w:val="000000" w:themeColor="text1"/>
          <w:kern w:val="24"/>
          <w:sz w:val="24"/>
          <w:szCs w:val="24"/>
          <w:lang w:eastAsia="en-GB"/>
        </w:rPr>
        <w:t>​</w:t>
      </w:r>
      <w:r w:rsidRPr="0059036F">
        <w:rPr>
          <w:rFonts w:eastAsiaTheme="minorEastAsia" w:cstheme="minorHAnsi"/>
          <w:color w:val="000000" w:themeColor="text1"/>
          <w:kern w:val="24"/>
          <w:sz w:val="24"/>
          <w:szCs w:val="24"/>
          <w:lang w:eastAsia="en-GB"/>
        </w:rPr>
        <w:t xml:space="preserve"> Women also remain more successful overall than men. </w:t>
      </w:r>
      <w:r w:rsidRPr="0059036F">
        <w:rPr>
          <w:rFonts w:ascii="Arial" w:eastAsiaTheme="minorEastAsia" w:hAnsi="Arial" w:cs="Arial"/>
          <w:color w:val="000000" w:themeColor="text1"/>
          <w:kern w:val="24"/>
          <w:sz w:val="24"/>
          <w:szCs w:val="24"/>
          <w:lang w:eastAsia="en-GB"/>
        </w:rPr>
        <w:t>​</w:t>
      </w:r>
    </w:p>
    <w:p w14:paraId="33E643B2" w14:textId="112B8E7A" w:rsidR="006215B3" w:rsidRPr="0059036F" w:rsidRDefault="006215B3" w:rsidP="00831FE1">
      <w:pPr>
        <w:pStyle w:val="ListParagraph"/>
        <w:numPr>
          <w:ilvl w:val="0"/>
          <w:numId w:val="9"/>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ind w:left="360"/>
        <w:rPr>
          <w:rFonts w:eastAsiaTheme="minorEastAsia" w:cstheme="minorHAnsi"/>
          <w:color w:val="000000" w:themeColor="text1"/>
          <w:kern w:val="24"/>
          <w:sz w:val="24"/>
          <w:szCs w:val="24"/>
          <w:lang w:eastAsia="en-GB"/>
        </w:rPr>
      </w:pPr>
      <w:r w:rsidRPr="0059036F">
        <w:rPr>
          <w:rFonts w:eastAsiaTheme="minorEastAsia" w:cstheme="minorHAnsi"/>
          <w:color w:val="000000" w:themeColor="text1"/>
          <w:kern w:val="24"/>
          <w:sz w:val="24"/>
          <w:szCs w:val="24"/>
          <w:lang w:eastAsia="en-GB"/>
        </w:rPr>
        <w:t>A significantly smaller proportion of Black and global majority academics apply for professor and readership than the population average.</w:t>
      </w:r>
      <w:r w:rsidRPr="0059036F">
        <w:rPr>
          <w:rFonts w:ascii="Arial" w:eastAsiaTheme="minorEastAsia" w:hAnsi="Arial" w:cs="Arial"/>
          <w:color w:val="000000" w:themeColor="text1"/>
          <w:kern w:val="24"/>
          <w:sz w:val="24"/>
          <w:szCs w:val="24"/>
          <w:lang w:eastAsia="en-GB"/>
        </w:rPr>
        <w:t>​</w:t>
      </w:r>
    </w:p>
    <w:p w14:paraId="0836474C" w14:textId="3B7143CE" w:rsidR="00B14612" w:rsidRPr="00F12DCF" w:rsidRDefault="006215B3" w:rsidP="00C9721A">
      <w:pPr>
        <w:pStyle w:val="ListParagraph"/>
        <w:numPr>
          <w:ilvl w:val="0"/>
          <w:numId w:val="9"/>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ind w:left="360"/>
        <w:rPr>
          <w:rFonts w:eastAsiaTheme="minorEastAsia" w:cstheme="minorHAnsi"/>
          <w:color w:val="000000" w:themeColor="text1"/>
          <w:kern w:val="24"/>
          <w:sz w:val="24"/>
          <w:szCs w:val="24"/>
          <w:lang w:eastAsia="en-GB"/>
        </w:rPr>
      </w:pPr>
      <w:r w:rsidRPr="0059036F">
        <w:rPr>
          <w:rFonts w:eastAsiaTheme="minorEastAsia" w:cstheme="minorHAnsi"/>
          <w:color w:val="000000" w:themeColor="text1"/>
          <w:kern w:val="24"/>
          <w:sz w:val="24"/>
          <w:szCs w:val="24"/>
          <w:lang w:eastAsia="en-GB"/>
        </w:rPr>
        <w:t>The overall success rate for Black and global majority staff is 6 percentage points lower than for White staff.  However, success rates at reader and senior lecturer are now comparable.  A 14.4 percentage point difference remains at professor level.</w:t>
      </w:r>
      <w:r w:rsidRPr="0059036F">
        <w:rPr>
          <w:rFonts w:ascii="Arial" w:eastAsiaTheme="minorEastAsia" w:hAnsi="Arial" w:cs="Arial"/>
          <w:color w:val="000000" w:themeColor="text1"/>
          <w:kern w:val="24"/>
          <w:sz w:val="24"/>
          <w:szCs w:val="24"/>
          <w:lang w:eastAsia="en-GB"/>
        </w:rPr>
        <w:t>​</w:t>
      </w:r>
    </w:p>
    <w:p w14:paraId="024F0E2C" w14:textId="246FB54E" w:rsidR="00B14612" w:rsidRDefault="00B14612" w:rsidP="00C9721A">
      <w:pPr>
        <w:pStyle w:val="Heading3"/>
        <w:rPr>
          <w:rFonts w:eastAsiaTheme="minorEastAsia"/>
          <w:lang w:eastAsia="en-GB"/>
        </w:rPr>
      </w:pPr>
    </w:p>
    <w:p w14:paraId="6536BDA7" w14:textId="77777777" w:rsidR="00CE00AE" w:rsidRDefault="00CE00AE" w:rsidP="00CE00AE">
      <w:pPr>
        <w:rPr>
          <w:lang w:eastAsia="en-GB"/>
        </w:rPr>
      </w:pPr>
    </w:p>
    <w:p w14:paraId="7D49BF03" w14:textId="77777777" w:rsidR="00CE00AE" w:rsidRDefault="00CE00AE" w:rsidP="00CE00AE">
      <w:pPr>
        <w:rPr>
          <w:lang w:eastAsia="en-GB"/>
        </w:rPr>
      </w:pPr>
    </w:p>
    <w:p w14:paraId="41B74675" w14:textId="77777777" w:rsidR="00CE00AE" w:rsidRDefault="00CE00AE" w:rsidP="00CE00AE">
      <w:pPr>
        <w:rPr>
          <w:lang w:eastAsia="en-GB"/>
        </w:rPr>
      </w:pPr>
    </w:p>
    <w:p w14:paraId="163894B1" w14:textId="77777777" w:rsidR="00CE00AE" w:rsidRPr="00CE00AE" w:rsidRDefault="00CE00AE" w:rsidP="00CE00AE">
      <w:pPr>
        <w:rPr>
          <w:lang w:eastAsia="en-GB"/>
        </w:rPr>
      </w:pPr>
    </w:p>
    <w:p w14:paraId="271DD2E3" w14:textId="2559D50D" w:rsidR="009605BE" w:rsidRDefault="009605BE" w:rsidP="00A45688">
      <w:pPr>
        <w:pStyle w:val="Heading3"/>
        <w:numPr>
          <w:ilvl w:val="0"/>
          <w:numId w:val="34"/>
        </w:numPr>
        <w:rPr>
          <w:rFonts w:eastAsiaTheme="minorEastAsia"/>
          <w:lang w:eastAsia="en-GB"/>
        </w:rPr>
      </w:pPr>
      <w:r>
        <w:rPr>
          <w:rFonts w:eastAsiaTheme="minorEastAsia"/>
          <w:lang w:eastAsia="en-GB"/>
        </w:rPr>
        <w:lastRenderedPageBreak/>
        <w:t xml:space="preserve">Recruitment and </w:t>
      </w:r>
      <w:r w:rsidR="00B11280">
        <w:rPr>
          <w:rFonts w:eastAsiaTheme="minorEastAsia"/>
          <w:lang w:eastAsia="en-GB"/>
        </w:rPr>
        <w:t>Selection</w:t>
      </w:r>
    </w:p>
    <w:p w14:paraId="75ED6378" w14:textId="77777777" w:rsidR="002740A9" w:rsidRDefault="002740A9" w:rsidP="00684EA0">
      <w:pPr>
        <w:spacing w:after="0" w:line="240" w:lineRule="auto"/>
        <w:rPr>
          <w:rFonts w:ascii="Corbel" w:eastAsiaTheme="minorEastAsia" w:hAnsi="Corbel" w:cstheme="minorHAnsi"/>
          <w:color w:val="000000" w:themeColor="text1"/>
          <w:kern w:val="24"/>
          <w:sz w:val="24"/>
          <w:szCs w:val="24"/>
          <w:lang w:eastAsia="en-GB"/>
        </w:rPr>
      </w:pPr>
    </w:p>
    <w:p w14:paraId="6FBEDC40" w14:textId="77777777" w:rsidR="002740A9" w:rsidRPr="00E97CA1" w:rsidRDefault="002740A9" w:rsidP="002740A9">
      <w:pPr>
        <w:spacing w:after="0" w:line="240" w:lineRule="auto"/>
        <w:rPr>
          <w:rFonts w:ascii="Corbel" w:eastAsiaTheme="minorEastAsia" w:hAnsi="Corbel" w:cstheme="minorHAnsi"/>
          <w:color w:val="000000" w:themeColor="text1"/>
          <w:kern w:val="24"/>
          <w:sz w:val="24"/>
          <w:szCs w:val="24"/>
          <w:lang w:eastAsia="en-GB"/>
        </w:rPr>
      </w:pPr>
      <w:r>
        <w:rPr>
          <w:rFonts w:ascii="Corbel" w:eastAsiaTheme="minorEastAsia" w:hAnsi="Corbel" w:cstheme="minorHAnsi"/>
          <w:color w:val="000000" w:themeColor="text1"/>
          <w:kern w:val="24"/>
          <w:sz w:val="24"/>
          <w:szCs w:val="24"/>
          <w:lang w:eastAsia="en-GB"/>
        </w:rPr>
        <w:t xml:space="preserve">Findings from recruitment data suggest that further work is required to ensure we attract more diverse applicants, and that the decision-making process are fair and free from bias. </w:t>
      </w:r>
    </w:p>
    <w:p w14:paraId="081463E9" w14:textId="77777777" w:rsidR="002740A9" w:rsidRDefault="002740A9" w:rsidP="002740A9">
      <w:pPr>
        <w:spacing w:after="0" w:line="240" w:lineRule="auto"/>
        <w:rPr>
          <w:rFonts w:ascii="Corbel" w:eastAsiaTheme="minorEastAsia" w:hAnsi="Corbel" w:cstheme="minorHAnsi"/>
          <w:color w:val="000000" w:themeColor="text1"/>
          <w:kern w:val="24"/>
          <w:sz w:val="24"/>
          <w:szCs w:val="24"/>
          <w:lang w:eastAsia="en-GB"/>
        </w:rPr>
      </w:pPr>
    </w:p>
    <w:p w14:paraId="1149A169" w14:textId="77777777" w:rsidR="002740A9" w:rsidRPr="007E7453" w:rsidRDefault="002740A9" w:rsidP="002740A9">
      <w:p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Arial"/>
          <w:color w:val="000000" w:themeColor="text1"/>
          <w:kern w:val="24"/>
          <w:sz w:val="24"/>
          <w:szCs w:val="24"/>
          <w:lang w:eastAsia="en-GB"/>
        </w:rPr>
      </w:pPr>
      <w:r>
        <w:rPr>
          <w:rFonts w:eastAsiaTheme="minorEastAsia" w:cs="Arial"/>
          <w:color w:val="000000" w:themeColor="text1"/>
          <w:kern w:val="24"/>
          <w:sz w:val="24"/>
          <w:szCs w:val="24"/>
          <w:lang w:eastAsia="en-GB"/>
        </w:rPr>
        <w:t>Recruitment</w:t>
      </w:r>
    </w:p>
    <w:p w14:paraId="50C202B9" w14:textId="77777777" w:rsidR="002740A9" w:rsidRPr="00831FE1" w:rsidRDefault="002740A9" w:rsidP="002740A9">
      <w:pPr>
        <w:pStyle w:val="ListParagraph"/>
        <w:numPr>
          <w:ilvl w:val="0"/>
          <w:numId w:val="11"/>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Arial"/>
          <w:color w:val="000000" w:themeColor="text1"/>
          <w:kern w:val="24"/>
          <w:sz w:val="24"/>
          <w:szCs w:val="24"/>
          <w:lang w:eastAsia="en-GB"/>
        </w:rPr>
      </w:pPr>
      <w:r w:rsidRPr="00831FE1">
        <w:rPr>
          <w:rFonts w:eastAsiaTheme="minorEastAsia" w:cstheme="minorHAnsi"/>
          <w:color w:val="000000" w:themeColor="text1"/>
          <w:kern w:val="24"/>
          <w:sz w:val="24"/>
          <w:szCs w:val="24"/>
          <w:lang w:eastAsia="en-GB"/>
        </w:rPr>
        <w:t>Black and global majority applicants perform less well than white applicants at both shortlisting and interview.</w:t>
      </w:r>
      <w:r w:rsidRPr="00831FE1">
        <w:rPr>
          <w:rFonts w:ascii="Arial" w:eastAsiaTheme="minorEastAsia" w:hAnsi="Arial" w:cs="Arial"/>
          <w:color w:val="000000" w:themeColor="text1"/>
          <w:kern w:val="24"/>
          <w:sz w:val="24"/>
          <w:szCs w:val="24"/>
          <w:lang w:eastAsia="en-GB"/>
        </w:rPr>
        <w:t>​</w:t>
      </w:r>
      <w:r w:rsidRPr="00831FE1">
        <w:rPr>
          <w:rFonts w:eastAsiaTheme="minorEastAsia" w:cs="Arial"/>
          <w:color w:val="000000" w:themeColor="text1"/>
          <w:kern w:val="24"/>
          <w:sz w:val="24"/>
          <w:szCs w:val="24"/>
          <w:lang w:eastAsia="en-GB"/>
        </w:rPr>
        <w:t xml:space="preserve"> </w:t>
      </w:r>
    </w:p>
    <w:p w14:paraId="3DEF5B48" w14:textId="77777777" w:rsidR="002740A9" w:rsidRPr="00831FE1" w:rsidRDefault="002740A9" w:rsidP="002740A9">
      <w:pPr>
        <w:pStyle w:val="ListParagraph"/>
        <w:numPr>
          <w:ilvl w:val="0"/>
          <w:numId w:val="11"/>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Arial"/>
          <w:color w:val="000000" w:themeColor="text1"/>
          <w:kern w:val="24"/>
          <w:sz w:val="24"/>
          <w:szCs w:val="24"/>
          <w:lang w:eastAsia="en-GB"/>
        </w:rPr>
      </w:pPr>
      <w:r w:rsidRPr="00831FE1">
        <w:rPr>
          <w:rFonts w:eastAsiaTheme="minorEastAsia" w:cs="Arial"/>
          <w:color w:val="000000" w:themeColor="text1"/>
          <w:kern w:val="24"/>
          <w:sz w:val="24"/>
          <w:szCs w:val="24"/>
          <w:lang w:eastAsia="en-GB"/>
        </w:rPr>
        <w:t>Disabled applicants perform better at shortlisting than non disabled applicants but less well at the interview.</w:t>
      </w:r>
    </w:p>
    <w:p w14:paraId="228DBE76" w14:textId="77777777" w:rsidR="002740A9" w:rsidRPr="00831FE1" w:rsidRDefault="002740A9" w:rsidP="002740A9">
      <w:pPr>
        <w:pStyle w:val="ListParagraph"/>
        <w:numPr>
          <w:ilvl w:val="0"/>
          <w:numId w:val="11"/>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Arial"/>
          <w:color w:val="000000" w:themeColor="text1"/>
          <w:kern w:val="24"/>
          <w:sz w:val="24"/>
          <w:szCs w:val="24"/>
          <w:lang w:eastAsia="en-GB"/>
        </w:rPr>
      </w:pPr>
      <w:r w:rsidRPr="00831FE1">
        <w:rPr>
          <w:rFonts w:eastAsiaTheme="minorEastAsia" w:cs="Arial"/>
          <w:color w:val="000000" w:themeColor="text1"/>
          <w:kern w:val="24"/>
          <w:sz w:val="24"/>
          <w:szCs w:val="24"/>
          <w:lang w:eastAsia="en-GB"/>
        </w:rPr>
        <w:t xml:space="preserve">Academic women applicants are more successful at shortlisting, but less successful at offer stage for Grades 8, 9 and Professorships. </w:t>
      </w:r>
    </w:p>
    <w:p w14:paraId="32D07E86" w14:textId="77777777" w:rsidR="002740A9" w:rsidRPr="00831FE1" w:rsidRDefault="002740A9" w:rsidP="002740A9">
      <w:pPr>
        <w:pStyle w:val="ListParagraph"/>
        <w:numPr>
          <w:ilvl w:val="0"/>
          <w:numId w:val="11"/>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Arial"/>
          <w:color w:val="000000" w:themeColor="text1"/>
          <w:kern w:val="24"/>
          <w:sz w:val="24"/>
          <w:szCs w:val="24"/>
          <w:lang w:eastAsia="en-GB"/>
        </w:rPr>
      </w:pPr>
      <w:r w:rsidRPr="00831FE1">
        <w:rPr>
          <w:rFonts w:eastAsiaTheme="minorEastAsia" w:cs="Arial"/>
          <w:color w:val="000000" w:themeColor="text1"/>
          <w:kern w:val="24"/>
          <w:sz w:val="24"/>
          <w:szCs w:val="24"/>
          <w:lang w:eastAsia="en-GB"/>
        </w:rPr>
        <w:t>Black and global majority academic applicants are significantly less successful at shortlisting, but more successful at offer stage.</w:t>
      </w:r>
      <w:r w:rsidRPr="00831FE1">
        <w:rPr>
          <w:rFonts w:ascii="Arial" w:eastAsiaTheme="minorEastAsia" w:hAnsi="Arial" w:cs="Arial"/>
          <w:color w:val="000000" w:themeColor="text1"/>
          <w:kern w:val="24"/>
          <w:sz w:val="24"/>
          <w:szCs w:val="24"/>
          <w:lang w:eastAsia="en-GB"/>
        </w:rPr>
        <w:t>​</w:t>
      </w:r>
      <w:r w:rsidRPr="00831FE1">
        <w:rPr>
          <w:rFonts w:eastAsiaTheme="minorEastAsia" w:cs="Arial"/>
          <w:color w:val="000000" w:themeColor="text1"/>
          <w:kern w:val="24"/>
          <w:sz w:val="24"/>
          <w:szCs w:val="24"/>
          <w:lang w:eastAsia="en-GB"/>
        </w:rPr>
        <w:t xml:space="preserve"> </w:t>
      </w:r>
    </w:p>
    <w:p w14:paraId="0392A35D" w14:textId="77777777" w:rsidR="002740A9" w:rsidRPr="00831FE1" w:rsidRDefault="002740A9" w:rsidP="002740A9">
      <w:pPr>
        <w:pStyle w:val="ListParagraph"/>
        <w:numPr>
          <w:ilvl w:val="0"/>
          <w:numId w:val="11"/>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Arial"/>
          <w:color w:val="000000" w:themeColor="text1"/>
          <w:kern w:val="24"/>
          <w:sz w:val="24"/>
          <w:szCs w:val="24"/>
          <w:lang w:eastAsia="en-GB"/>
        </w:rPr>
      </w:pPr>
      <w:r w:rsidRPr="00831FE1">
        <w:rPr>
          <w:rFonts w:eastAsiaTheme="minorEastAsia" w:cs="Arial"/>
          <w:color w:val="000000" w:themeColor="text1"/>
          <w:kern w:val="24"/>
          <w:sz w:val="24"/>
          <w:szCs w:val="24"/>
          <w:lang w:eastAsia="en-GB"/>
        </w:rPr>
        <w:t xml:space="preserve">Black and global majority applicants were less likely to be shortlisted and be offered the role than white applicants for Professional Services grades 8-10. </w:t>
      </w:r>
    </w:p>
    <w:p w14:paraId="2B91E19B" w14:textId="77777777" w:rsidR="002740A9" w:rsidRPr="00831FE1" w:rsidRDefault="002740A9" w:rsidP="002740A9">
      <w:pPr>
        <w:pStyle w:val="ListParagraph"/>
        <w:numPr>
          <w:ilvl w:val="0"/>
          <w:numId w:val="11"/>
        </w:numPr>
        <w:pBdr>
          <w:top w:val="single" w:sz="4" w:space="1" w:color="F4B083" w:themeColor="accent2" w:themeTint="99"/>
          <w:left w:val="single" w:sz="4" w:space="4" w:color="F4B083" w:themeColor="accent2" w:themeTint="99"/>
          <w:bottom w:val="single" w:sz="4" w:space="1" w:color="F4B083" w:themeColor="accent2" w:themeTint="99"/>
          <w:right w:val="single" w:sz="4" w:space="4" w:color="F4B083" w:themeColor="accent2" w:themeTint="99"/>
        </w:pBdr>
        <w:shd w:val="clear" w:color="auto" w:fill="FBE4D5" w:themeFill="accent2" w:themeFillTint="33"/>
        <w:rPr>
          <w:rFonts w:eastAsiaTheme="minorEastAsia" w:cstheme="minorHAnsi"/>
          <w:color w:val="000000" w:themeColor="text1"/>
          <w:kern w:val="24"/>
          <w:sz w:val="24"/>
          <w:szCs w:val="24"/>
          <w:lang w:eastAsia="en-GB"/>
        </w:rPr>
      </w:pPr>
      <w:r w:rsidRPr="00831FE1">
        <w:rPr>
          <w:rFonts w:eastAsiaTheme="minorEastAsia" w:cstheme="minorHAnsi"/>
          <w:color w:val="000000" w:themeColor="text1"/>
          <w:kern w:val="24"/>
          <w:sz w:val="24"/>
          <w:szCs w:val="24"/>
          <w:lang w:eastAsia="en-GB"/>
        </w:rPr>
        <w:t>LGBT+ candidates were marginally less successful at shortlisting, and significantly less successful at offer stage for academic roles 8-10 and Professor.</w:t>
      </w:r>
      <w:r w:rsidRPr="00831FE1">
        <w:rPr>
          <w:rFonts w:ascii="Arial" w:eastAsiaTheme="minorEastAsia" w:hAnsi="Arial" w:cs="Arial"/>
          <w:color w:val="000000" w:themeColor="text1"/>
          <w:kern w:val="24"/>
          <w:sz w:val="24"/>
          <w:szCs w:val="24"/>
          <w:lang w:eastAsia="en-GB"/>
        </w:rPr>
        <w:t>​</w:t>
      </w:r>
    </w:p>
    <w:p w14:paraId="4478F5D2" w14:textId="77777777" w:rsidR="002740A9" w:rsidRDefault="002740A9" w:rsidP="00684EA0">
      <w:pPr>
        <w:spacing w:after="0" w:line="240" w:lineRule="auto"/>
        <w:rPr>
          <w:rFonts w:ascii="Corbel" w:eastAsiaTheme="minorEastAsia" w:hAnsi="Corbel" w:cstheme="minorHAnsi"/>
          <w:color w:val="000000" w:themeColor="text1"/>
          <w:kern w:val="24"/>
          <w:sz w:val="24"/>
          <w:szCs w:val="24"/>
          <w:lang w:eastAsia="en-GB"/>
        </w:rPr>
      </w:pPr>
    </w:p>
    <w:p w14:paraId="68A410FF" w14:textId="77777777" w:rsidR="002740A9" w:rsidRDefault="002740A9" w:rsidP="00684EA0">
      <w:pPr>
        <w:spacing w:after="0" w:line="240" w:lineRule="auto"/>
        <w:rPr>
          <w:rFonts w:ascii="Corbel" w:eastAsiaTheme="minorEastAsia" w:hAnsi="Corbel" w:cstheme="minorHAnsi"/>
          <w:color w:val="000000" w:themeColor="text1"/>
          <w:kern w:val="24"/>
          <w:sz w:val="24"/>
          <w:szCs w:val="24"/>
          <w:lang w:eastAsia="en-GB"/>
        </w:rPr>
      </w:pPr>
    </w:p>
    <w:p w14:paraId="7D03DF9B" w14:textId="6F7B4F74" w:rsidR="00F13681" w:rsidRDefault="009F4308" w:rsidP="00684EA0">
      <w:pPr>
        <w:spacing w:after="0" w:line="240" w:lineRule="auto"/>
        <w:rPr>
          <w:rFonts w:ascii="Corbel" w:eastAsiaTheme="minorEastAsia" w:hAnsi="Corbel" w:cstheme="minorHAnsi"/>
          <w:color w:val="000000" w:themeColor="text1"/>
          <w:kern w:val="24"/>
          <w:sz w:val="24"/>
          <w:szCs w:val="24"/>
          <w:lang w:eastAsia="en-GB"/>
        </w:rPr>
      </w:pPr>
      <w:r>
        <w:rPr>
          <w:rFonts w:ascii="Corbel" w:eastAsiaTheme="minorEastAsia" w:hAnsi="Corbel" w:cstheme="minorHAnsi"/>
          <w:color w:val="000000" w:themeColor="text1"/>
          <w:kern w:val="24"/>
          <w:sz w:val="24"/>
          <w:szCs w:val="24"/>
          <w:lang w:eastAsia="en-GB"/>
        </w:rPr>
        <w:t>A paper on establishing a central reasonable adjustment budget was approved at Executive Board</w:t>
      </w:r>
      <w:r w:rsidR="00AF1B74">
        <w:rPr>
          <w:rFonts w:ascii="Corbel" w:eastAsiaTheme="minorEastAsia" w:hAnsi="Corbel" w:cstheme="minorHAnsi"/>
          <w:color w:val="000000" w:themeColor="text1"/>
          <w:kern w:val="24"/>
          <w:sz w:val="24"/>
          <w:szCs w:val="24"/>
          <w:lang w:eastAsia="en-GB"/>
        </w:rPr>
        <w:t xml:space="preserve"> in 2022</w:t>
      </w:r>
      <w:r>
        <w:rPr>
          <w:rFonts w:ascii="Corbel" w:eastAsiaTheme="minorEastAsia" w:hAnsi="Corbel" w:cstheme="minorHAnsi"/>
          <w:color w:val="000000" w:themeColor="text1"/>
          <w:kern w:val="24"/>
          <w:sz w:val="24"/>
          <w:szCs w:val="24"/>
          <w:lang w:eastAsia="en-GB"/>
        </w:rPr>
        <w:t>. The purpose of the proposal was to ensure that financial considerations at department level do not impact recruitment decisions.</w:t>
      </w:r>
      <w:r w:rsidR="00F82EA8">
        <w:rPr>
          <w:rFonts w:ascii="Corbel" w:eastAsiaTheme="minorEastAsia" w:hAnsi="Corbel" w:cstheme="minorHAnsi"/>
          <w:color w:val="000000" w:themeColor="text1"/>
          <w:kern w:val="24"/>
          <w:sz w:val="24"/>
          <w:szCs w:val="24"/>
          <w:lang w:eastAsia="en-GB"/>
        </w:rPr>
        <w:t xml:space="preserve"> The </w:t>
      </w:r>
      <w:r w:rsidR="00C9721A">
        <w:rPr>
          <w:rFonts w:ascii="Corbel" w:eastAsiaTheme="minorEastAsia" w:hAnsi="Corbel" w:cstheme="minorHAnsi"/>
          <w:color w:val="000000" w:themeColor="text1"/>
          <w:kern w:val="24"/>
          <w:sz w:val="24"/>
          <w:szCs w:val="24"/>
          <w:lang w:eastAsia="en-GB"/>
        </w:rPr>
        <w:t>EDI Committee also approved a paper highlighting the value of introducing Diversity Statements into the Recruitment Process</w:t>
      </w:r>
      <w:r w:rsidR="00384329">
        <w:rPr>
          <w:rFonts w:ascii="Corbel" w:eastAsiaTheme="minorEastAsia" w:hAnsi="Corbel" w:cstheme="minorHAnsi"/>
          <w:color w:val="000000" w:themeColor="text1"/>
          <w:kern w:val="24"/>
          <w:sz w:val="24"/>
          <w:szCs w:val="24"/>
          <w:lang w:eastAsia="en-GB"/>
        </w:rPr>
        <w:t xml:space="preserve"> and we will proceed to implemented these in 2023. </w:t>
      </w:r>
      <w:r w:rsidR="00C9721A">
        <w:rPr>
          <w:rFonts w:ascii="Corbel" w:eastAsiaTheme="minorEastAsia" w:hAnsi="Corbel" w:cstheme="minorHAnsi"/>
          <w:color w:val="000000" w:themeColor="text1"/>
          <w:kern w:val="24"/>
          <w:sz w:val="24"/>
          <w:szCs w:val="24"/>
          <w:lang w:eastAsia="en-GB"/>
        </w:rPr>
        <w:t xml:space="preserve"> </w:t>
      </w:r>
    </w:p>
    <w:p w14:paraId="004E3B53" w14:textId="77777777" w:rsidR="00C82238" w:rsidRDefault="00C82238" w:rsidP="00684EA0">
      <w:pPr>
        <w:spacing w:after="0" w:line="240" w:lineRule="auto"/>
        <w:rPr>
          <w:rFonts w:ascii="Corbel" w:eastAsiaTheme="minorEastAsia" w:hAnsi="Corbel" w:cstheme="minorHAnsi"/>
          <w:color w:val="000000" w:themeColor="text1"/>
          <w:kern w:val="24"/>
          <w:sz w:val="24"/>
          <w:szCs w:val="24"/>
          <w:lang w:eastAsia="en-GB"/>
        </w:rPr>
      </w:pPr>
    </w:p>
    <w:p w14:paraId="370C3578" w14:textId="5168B3B6" w:rsidR="00C82238" w:rsidRDefault="00C82238" w:rsidP="00684EA0">
      <w:pPr>
        <w:spacing w:after="0" w:line="240" w:lineRule="auto"/>
        <w:rPr>
          <w:rFonts w:ascii="Corbel" w:eastAsiaTheme="minorEastAsia" w:hAnsi="Corbel" w:cstheme="minorHAnsi"/>
          <w:color w:val="000000" w:themeColor="text1"/>
          <w:kern w:val="24"/>
          <w:sz w:val="24"/>
          <w:szCs w:val="24"/>
          <w:lang w:eastAsia="en-GB"/>
        </w:rPr>
      </w:pPr>
      <w:r w:rsidRPr="00C82238">
        <w:rPr>
          <w:rFonts w:ascii="Corbel" w:eastAsiaTheme="minorEastAsia" w:hAnsi="Corbel" w:cstheme="minorHAnsi"/>
          <w:color w:val="000000" w:themeColor="text1"/>
          <w:kern w:val="24"/>
          <w:sz w:val="24"/>
          <w:szCs w:val="24"/>
          <w:shd w:val="clear" w:color="auto" w:fill="C5E0B3" w:themeFill="accent6" w:themeFillTint="66"/>
          <w:lang w:eastAsia="en-GB"/>
        </w:rPr>
        <w:t>Looking forwards</w:t>
      </w:r>
      <w:r>
        <w:rPr>
          <w:rFonts w:ascii="Corbel" w:eastAsiaTheme="minorEastAsia" w:hAnsi="Corbel" w:cstheme="minorHAnsi"/>
          <w:color w:val="000000" w:themeColor="text1"/>
          <w:kern w:val="24"/>
          <w:sz w:val="24"/>
          <w:szCs w:val="24"/>
          <w:lang w:eastAsia="en-GB"/>
        </w:rPr>
        <w:t xml:space="preserve"> we will work to ensure commitment to EDI is an integral part of the application and recruitment process and strengthen EDI recruitment training.</w:t>
      </w:r>
    </w:p>
    <w:p w14:paraId="6589355F" w14:textId="77777777" w:rsidR="00831FE1" w:rsidRDefault="00831FE1" w:rsidP="00831FE1">
      <w:pPr>
        <w:pStyle w:val="Heading3"/>
      </w:pPr>
    </w:p>
    <w:p w14:paraId="45B2B957" w14:textId="28692A51" w:rsidR="00AB2A9E" w:rsidRDefault="00AB2A9E" w:rsidP="00A45688">
      <w:pPr>
        <w:pStyle w:val="Heading3"/>
        <w:numPr>
          <w:ilvl w:val="0"/>
          <w:numId w:val="34"/>
        </w:numPr>
      </w:pPr>
      <w:r>
        <w:t>Inclusive Infrastructure</w:t>
      </w:r>
    </w:p>
    <w:p w14:paraId="1E48290E" w14:textId="5C32C706" w:rsidR="00AB2A9E" w:rsidRDefault="008C78CB" w:rsidP="00AB2A9E">
      <w:pPr>
        <w:rPr>
          <w:rFonts w:ascii="Corbel" w:hAnsi="Corbel"/>
          <w:sz w:val="24"/>
          <w:szCs w:val="24"/>
        </w:rPr>
      </w:pPr>
      <w:r w:rsidRPr="00250BA4">
        <w:rPr>
          <w:rFonts w:ascii="Corbel" w:hAnsi="Corbel"/>
          <w:sz w:val="24"/>
          <w:szCs w:val="24"/>
        </w:rPr>
        <w:t xml:space="preserve">The Inclusive Infrastructure Working </w:t>
      </w:r>
      <w:r w:rsidR="000E6F2C">
        <w:rPr>
          <w:rFonts w:ascii="Corbel" w:hAnsi="Corbel"/>
          <w:sz w:val="24"/>
          <w:szCs w:val="24"/>
        </w:rPr>
        <w:t>G</w:t>
      </w:r>
      <w:r w:rsidRPr="00250BA4">
        <w:rPr>
          <w:rFonts w:ascii="Corbel" w:hAnsi="Corbel"/>
          <w:sz w:val="24"/>
          <w:szCs w:val="24"/>
        </w:rPr>
        <w:t>roup</w:t>
      </w:r>
      <w:r w:rsidR="004E05FD" w:rsidRPr="00250BA4">
        <w:rPr>
          <w:rFonts w:ascii="Corbel" w:hAnsi="Corbel"/>
          <w:sz w:val="24"/>
          <w:szCs w:val="24"/>
        </w:rPr>
        <w:t xml:space="preserve"> </w:t>
      </w:r>
      <w:r w:rsidR="000E6F2C">
        <w:rPr>
          <w:rFonts w:ascii="Corbel" w:hAnsi="Corbel"/>
          <w:sz w:val="24"/>
          <w:szCs w:val="24"/>
        </w:rPr>
        <w:t xml:space="preserve">developed </w:t>
      </w:r>
      <w:r w:rsidR="002941A1" w:rsidRPr="00250BA4">
        <w:rPr>
          <w:rFonts w:ascii="Corbel" w:hAnsi="Corbel"/>
          <w:sz w:val="24"/>
          <w:szCs w:val="24"/>
        </w:rPr>
        <w:t>a set of recommendations around our Estates</w:t>
      </w:r>
      <w:r w:rsidR="00871BBC" w:rsidRPr="00250BA4">
        <w:rPr>
          <w:rFonts w:ascii="Corbel" w:hAnsi="Corbel"/>
          <w:sz w:val="24"/>
          <w:szCs w:val="24"/>
        </w:rPr>
        <w:t xml:space="preserve"> to address underlying issues</w:t>
      </w:r>
      <w:r w:rsidR="00962FC7">
        <w:rPr>
          <w:rFonts w:ascii="Corbel" w:hAnsi="Corbel"/>
          <w:sz w:val="24"/>
          <w:szCs w:val="24"/>
        </w:rPr>
        <w:t>. These included</w:t>
      </w:r>
      <w:r w:rsidR="00196D5F">
        <w:rPr>
          <w:rFonts w:ascii="Corbel" w:hAnsi="Corbel"/>
          <w:sz w:val="24"/>
          <w:szCs w:val="24"/>
        </w:rPr>
        <w:t xml:space="preserve"> building awareness and understanding around access and inclusion;</w:t>
      </w:r>
      <w:r w:rsidR="00962FC7">
        <w:rPr>
          <w:rFonts w:ascii="Corbel" w:hAnsi="Corbel"/>
          <w:sz w:val="24"/>
          <w:szCs w:val="24"/>
        </w:rPr>
        <w:t xml:space="preserve"> </w:t>
      </w:r>
      <w:r w:rsidR="00101960">
        <w:rPr>
          <w:rFonts w:ascii="Corbel" w:hAnsi="Corbel"/>
          <w:sz w:val="24"/>
          <w:szCs w:val="24"/>
        </w:rPr>
        <w:t>establishing a c</w:t>
      </w:r>
      <w:r w:rsidR="008A7C89" w:rsidRPr="00250BA4">
        <w:rPr>
          <w:rFonts w:ascii="Corbel" w:hAnsi="Corbel"/>
          <w:bCs/>
          <w:sz w:val="24"/>
          <w:szCs w:val="24"/>
        </w:rPr>
        <w:t>onsultation process</w:t>
      </w:r>
      <w:r w:rsidR="006B6C85" w:rsidRPr="00250BA4">
        <w:rPr>
          <w:rFonts w:ascii="Corbel" w:hAnsi="Corbel"/>
          <w:bCs/>
          <w:sz w:val="24"/>
          <w:szCs w:val="24"/>
        </w:rPr>
        <w:t xml:space="preserve"> </w:t>
      </w:r>
      <w:r w:rsidR="00EF048B" w:rsidRPr="00250BA4">
        <w:rPr>
          <w:rFonts w:ascii="Corbel" w:hAnsi="Corbel"/>
          <w:bCs/>
          <w:sz w:val="24"/>
          <w:szCs w:val="24"/>
        </w:rPr>
        <w:t xml:space="preserve">to make sure that accessibility and inclusion requirements are scoped into </w:t>
      </w:r>
      <w:r w:rsidR="00101960">
        <w:rPr>
          <w:rFonts w:ascii="Corbel" w:hAnsi="Corbel"/>
          <w:bCs/>
          <w:sz w:val="24"/>
          <w:szCs w:val="24"/>
        </w:rPr>
        <w:t xml:space="preserve">all estates-related projects </w:t>
      </w:r>
      <w:r w:rsidR="00EF048B" w:rsidRPr="00250BA4">
        <w:rPr>
          <w:rFonts w:ascii="Corbel" w:hAnsi="Corbel"/>
          <w:bCs/>
          <w:sz w:val="24"/>
          <w:szCs w:val="24"/>
        </w:rPr>
        <w:t>up front</w:t>
      </w:r>
      <w:r w:rsidR="00101960">
        <w:rPr>
          <w:rFonts w:ascii="Corbel" w:hAnsi="Corbel"/>
          <w:bCs/>
          <w:sz w:val="24"/>
          <w:szCs w:val="24"/>
        </w:rPr>
        <w:t>,</w:t>
      </w:r>
      <w:r w:rsidR="00EF048B" w:rsidRPr="00250BA4">
        <w:rPr>
          <w:rFonts w:ascii="Corbel" w:hAnsi="Corbel"/>
          <w:bCs/>
          <w:sz w:val="24"/>
          <w:szCs w:val="24"/>
        </w:rPr>
        <w:t xml:space="preserve"> and remain a focus throughout</w:t>
      </w:r>
      <w:r w:rsidR="00B3072B">
        <w:rPr>
          <w:rFonts w:ascii="Corbel" w:hAnsi="Corbel"/>
          <w:bCs/>
          <w:sz w:val="24"/>
          <w:szCs w:val="24"/>
        </w:rPr>
        <w:t xml:space="preserve">; </w:t>
      </w:r>
      <w:r w:rsidR="006B6C85" w:rsidRPr="00250BA4">
        <w:rPr>
          <w:rFonts w:ascii="Corbel" w:hAnsi="Corbel"/>
          <w:bCs/>
          <w:sz w:val="24"/>
          <w:szCs w:val="24"/>
        </w:rPr>
        <w:t>establish</w:t>
      </w:r>
      <w:r w:rsidR="00B3072B">
        <w:rPr>
          <w:rFonts w:ascii="Corbel" w:hAnsi="Corbel"/>
          <w:bCs/>
          <w:sz w:val="24"/>
          <w:szCs w:val="24"/>
        </w:rPr>
        <w:t>ing</w:t>
      </w:r>
      <w:r w:rsidR="006B6C85" w:rsidRPr="00250BA4">
        <w:rPr>
          <w:rFonts w:ascii="Corbel" w:hAnsi="Corbel"/>
          <w:bCs/>
          <w:sz w:val="24"/>
          <w:szCs w:val="24"/>
        </w:rPr>
        <w:t xml:space="preserve"> a user</w:t>
      </w:r>
      <w:r w:rsidR="00344F40">
        <w:rPr>
          <w:rFonts w:ascii="Corbel" w:hAnsi="Corbel"/>
          <w:bCs/>
          <w:sz w:val="24"/>
          <w:szCs w:val="24"/>
        </w:rPr>
        <w:t>-</w:t>
      </w:r>
      <w:r w:rsidR="006B6C85" w:rsidRPr="00250BA4">
        <w:rPr>
          <w:rFonts w:ascii="Corbel" w:hAnsi="Corbel"/>
          <w:bCs/>
          <w:sz w:val="24"/>
          <w:szCs w:val="24"/>
        </w:rPr>
        <w:t>panel</w:t>
      </w:r>
      <w:r w:rsidR="00C60EE1" w:rsidRPr="00250BA4">
        <w:rPr>
          <w:rFonts w:ascii="Corbel" w:hAnsi="Corbel"/>
          <w:bCs/>
          <w:sz w:val="24"/>
          <w:szCs w:val="24"/>
        </w:rPr>
        <w:t xml:space="preserve"> representing the diverse groups of stakeholders across </w:t>
      </w:r>
      <w:r w:rsidR="00344F40">
        <w:rPr>
          <w:rFonts w:ascii="Corbel" w:hAnsi="Corbel"/>
          <w:bCs/>
          <w:sz w:val="24"/>
          <w:szCs w:val="24"/>
        </w:rPr>
        <w:t>the C</w:t>
      </w:r>
      <w:r w:rsidR="00C60EE1" w:rsidRPr="00250BA4">
        <w:rPr>
          <w:rFonts w:ascii="Corbel" w:hAnsi="Corbel"/>
          <w:bCs/>
          <w:sz w:val="24"/>
          <w:szCs w:val="24"/>
        </w:rPr>
        <w:t>ollege</w:t>
      </w:r>
      <w:r w:rsidR="00F916B8">
        <w:rPr>
          <w:rFonts w:ascii="Corbel" w:hAnsi="Corbel"/>
          <w:bCs/>
          <w:sz w:val="24"/>
          <w:szCs w:val="24"/>
        </w:rPr>
        <w:t>.</w:t>
      </w:r>
      <w:r w:rsidR="00B3072B">
        <w:rPr>
          <w:rFonts w:ascii="Corbel" w:hAnsi="Corbel"/>
          <w:bCs/>
          <w:sz w:val="24"/>
          <w:szCs w:val="24"/>
        </w:rPr>
        <w:t xml:space="preserve"> </w:t>
      </w:r>
      <w:r w:rsidR="008D0331">
        <w:rPr>
          <w:rFonts w:ascii="Corbel" w:hAnsi="Corbel"/>
          <w:bCs/>
          <w:sz w:val="24"/>
          <w:szCs w:val="24"/>
        </w:rPr>
        <w:t>The group recommended that in</w:t>
      </w:r>
      <w:r w:rsidR="005C150D" w:rsidRPr="00250BA4">
        <w:rPr>
          <w:rFonts w:ascii="Corbel" w:hAnsi="Corbel"/>
          <w:bCs/>
          <w:sz w:val="24"/>
          <w:szCs w:val="24"/>
        </w:rPr>
        <w:t xml:space="preserve"> all  inclusion and accessibility requirements are considered as core </w:t>
      </w:r>
      <w:r w:rsidR="00F916B8">
        <w:rPr>
          <w:rFonts w:ascii="Corbel" w:hAnsi="Corbel"/>
          <w:bCs/>
          <w:sz w:val="24"/>
          <w:szCs w:val="24"/>
        </w:rPr>
        <w:t xml:space="preserve">build </w:t>
      </w:r>
      <w:r w:rsidR="005C150D" w:rsidRPr="00250BA4">
        <w:rPr>
          <w:rFonts w:ascii="Corbel" w:hAnsi="Corbel"/>
          <w:bCs/>
          <w:sz w:val="24"/>
          <w:szCs w:val="24"/>
        </w:rPr>
        <w:t>requirements that are of benefit to all stakeholders.</w:t>
      </w:r>
    </w:p>
    <w:p w14:paraId="13FBD4E7" w14:textId="176EC88F" w:rsidR="006453E4" w:rsidRPr="00CE00AE" w:rsidRDefault="006453E4" w:rsidP="00AB2A9E">
      <w:pPr>
        <w:rPr>
          <w:rFonts w:ascii="Corbel" w:hAnsi="Corbel"/>
          <w:bCs/>
          <w:sz w:val="24"/>
          <w:szCs w:val="24"/>
        </w:rPr>
      </w:pPr>
      <w:r w:rsidRPr="00890E19">
        <w:rPr>
          <w:rFonts w:ascii="Corbel" w:hAnsi="Corbel"/>
          <w:bCs/>
          <w:sz w:val="24"/>
          <w:szCs w:val="24"/>
          <w:shd w:val="clear" w:color="auto" w:fill="C5E0B3" w:themeFill="accent6" w:themeFillTint="66"/>
        </w:rPr>
        <w:t>Looking forward</w:t>
      </w:r>
      <w:r w:rsidR="00890E19" w:rsidRPr="00890E19">
        <w:rPr>
          <w:rFonts w:ascii="Corbel" w:hAnsi="Corbel"/>
          <w:bCs/>
          <w:sz w:val="24"/>
          <w:szCs w:val="24"/>
          <w:shd w:val="clear" w:color="auto" w:fill="C5E0B3" w:themeFill="accent6" w:themeFillTint="66"/>
        </w:rPr>
        <w:t>s</w:t>
      </w:r>
      <w:r>
        <w:rPr>
          <w:rFonts w:ascii="Corbel" w:hAnsi="Corbel"/>
          <w:bCs/>
          <w:sz w:val="24"/>
          <w:szCs w:val="24"/>
        </w:rPr>
        <w:t>, we will ensure recommendations and principles of access and inclusion are embedded into</w:t>
      </w:r>
      <w:r w:rsidR="007704B5">
        <w:rPr>
          <w:rFonts w:ascii="Corbel" w:hAnsi="Corbel"/>
          <w:bCs/>
          <w:sz w:val="24"/>
          <w:szCs w:val="24"/>
        </w:rPr>
        <w:t xml:space="preserve"> Estates Strategy. The group’s next project is a focus on digital accessibility and inclusion. </w:t>
      </w:r>
    </w:p>
    <w:p w14:paraId="7D1CEAB9" w14:textId="77777777" w:rsidR="00AB2A9E" w:rsidRDefault="00AB2A9E" w:rsidP="00831FE1">
      <w:pPr>
        <w:pStyle w:val="Heading3"/>
      </w:pPr>
    </w:p>
    <w:p w14:paraId="71A70E43" w14:textId="77777777" w:rsidR="00CE00AE" w:rsidRDefault="00CE00AE" w:rsidP="00CE00AE"/>
    <w:p w14:paraId="61DE01D8" w14:textId="77777777" w:rsidR="00CE00AE" w:rsidRPr="00CE00AE" w:rsidRDefault="00CE00AE" w:rsidP="00CE00AE"/>
    <w:p w14:paraId="1908AA99" w14:textId="747D11B3" w:rsidR="00831FE1" w:rsidRDefault="00831FE1" w:rsidP="00A45688">
      <w:pPr>
        <w:pStyle w:val="Heading3"/>
        <w:numPr>
          <w:ilvl w:val="0"/>
          <w:numId w:val="34"/>
        </w:numPr>
      </w:pPr>
      <w:r w:rsidRPr="00455693">
        <w:lastRenderedPageBreak/>
        <w:t>External Accreditation Scheme</w:t>
      </w:r>
      <w:r>
        <w:t>s</w:t>
      </w:r>
    </w:p>
    <w:p w14:paraId="7C855C03" w14:textId="77777777" w:rsidR="00831FE1" w:rsidRPr="00455693" w:rsidRDefault="00831FE1" w:rsidP="00831FE1">
      <w:pPr>
        <w:rPr>
          <w:rFonts w:ascii="Corbel" w:hAnsi="Corbel"/>
          <w:sz w:val="24"/>
          <w:szCs w:val="24"/>
        </w:rPr>
      </w:pPr>
      <w:r w:rsidRPr="00455693">
        <w:rPr>
          <w:rFonts w:ascii="Corbel" w:hAnsi="Corbel"/>
          <w:sz w:val="24"/>
          <w:szCs w:val="24"/>
        </w:rPr>
        <w:t xml:space="preserve">Our commitment to EDI has been demonstrated through the renewal of our </w:t>
      </w:r>
      <w:r w:rsidRPr="00E52AA0">
        <w:rPr>
          <w:rFonts w:ascii="Corbel" w:hAnsi="Corbel"/>
          <w:b/>
          <w:bCs/>
          <w:sz w:val="24"/>
          <w:szCs w:val="24"/>
        </w:rPr>
        <w:t xml:space="preserve">Athena Swan </w:t>
      </w:r>
      <w:r w:rsidRPr="00E52AA0">
        <w:rPr>
          <w:rFonts w:ascii="Corbel" w:hAnsi="Corbel"/>
          <w:sz w:val="24"/>
          <w:szCs w:val="24"/>
        </w:rPr>
        <w:t>Bronze</w:t>
      </w:r>
      <w:r w:rsidRPr="00455693">
        <w:rPr>
          <w:rFonts w:ascii="Corbel" w:hAnsi="Corbel"/>
          <w:sz w:val="24"/>
          <w:szCs w:val="24"/>
        </w:rPr>
        <w:t xml:space="preserve"> award in April 2017 and of our </w:t>
      </w:r>
      <w:r w:rsidRPr="00E52AA0">
        <w:rPr>
          <w:rFonts w:ascii="Corbel" w:hAnsi="Corbel"/>
          <w:b/>
          <w:bCs/>
          <w:sz w:val="24"/>
          <w:szCs w:val="24"/>
        </w:rPr>
        <w:t>Race Equality Charter</w:t>
      </w:r>
      <w:r w:rsidRPr="00455693">
        <w:rPr>
          <w:rFonts w:ascii="Corbel" w:hAnsi="Corbel"/>
          <w:sz w:val="24"/>
          <w:szCs w:val="24"/>
        </w:rPr>
        <w:t xml:space="preserve"> Bronze award in February 2019. We continue to be a </w:t>
      </w:r>
      <w:r w:rsidRPr="00E52AA0">
        <w:rPr>
          <w:rFonts w:ascii="Corbel" w:hAnsi="Corbel"/>
          <w:b/>
          <w:bCs/>
          <w:sz w:val="24"/>
          <w:szCs w:val="24"/>
        </w:rPr>
        <w:t>Stonewall Champion</w:t>
      </w:r>
      <w:r w:rsidRPr="00455693">
        <w:rPr>
          <w:rFonts w:ascii="Corbel" w:hAnsi="Corbel"/>
          <w:sz w:val="24"/>
          <w:szCs w:val="24"/>
        </w:rPr>
        <w:t xml:space="preserve"> and renewed our </w:t>
      </w:r>
      <w:r w:rsidRPr="00E52AA0">
        <w:rPr>
          <w:rFonts w:ascii="Corbel" w:hAnsi="Corbel"/>
          <w:b/>
          <w:bCs/>
          <w:sz w:val="24"/>
          <w:szCs w:val="24"/>
        </w:rPr>
        <w:t>Disability Confident Employer</w:t>
      </w:r>
      <w:r w:rsidRPr="00455693">
        <w:rPr>
          <w:rFonts w:ascii="Corbel" w:hAnsi="Corbel"/>
          <w:sz w:val="24"/>
          <w:szCs w:val="24"/>
        </w:rPr>
        <w:t xml:space="preserve"> status in 2020. We also engaged in the </w:t>
      </w:r>
      <w:r w:rsidRPr="00E52AA0">
        <w:rPr>
          <w:rFonts w:ascii="Corbel" w:hAnsi="Corbel"/>
          <w:b/>
          <w:bCs/>
          <w:sz w:val="24"/>
          <w:szCs w:val="24"/>
        </w:rPr>
        <w:t>White Ribbon Campaign</w:t>
      </w:r>
      <w:r w:rsidRPr="00455693">
        <w:rPr>
          <w:rFonts w:ascii="Corbel" w:hAnsi="Corbel"/>
          <w:sz w:val="24"/>
          <w:szCs w:val="24"/>
        </w:rPr>
        <w:t xml:space="preserve"> in 2021 demonstrating commitment to delivering awareness and engagement via communications, policies, student and staff training, and to develop overall culture. </w:t>
      </w:r>
    </w:p>
    <w:p w14:paraId="2327D448" w14:textId="77777777" w:rsidR="00831FE1" w:rsidRPr="00455693" w:rsidRDefault="00831FE1" w:rsidP="00831FE1">
      <w:pPr>
        <w:rPr>
          <w:rFonts w:ascii="Corbel" w:hAnsi="Corbel"/>
          <w:sz w:val="24"/>
          <w:szCs w:val="24"/>
        </w:rPr>
      </w:pPr>
      <w:r w:rsidRPr="00510788">
        <w:rPr>
          <w:rFonts w:ascii="Corbel" w:hAnsi="Corbel"/>
          <w:sz w:val="24"/>
          <w:szCs w:val="24"/>
        </w:rPr>
        <w:t>Our engagement with Equality Charters and external accreditation schemes have proven to be useful in providing frameworks and tools we can employ for self-reflection, plan our EDI work and source ideas and support for</w:t>
      </w:r>
      <w:r>
        <w:rPr>
          <w:rFonts w:ascii="Corbel" w:hAnsi="Corbel"/>
          <w:sz w:val="24"/>
          <w:szCs w:val="24"/>
        </w:rPr>
        <w:t xml:space="preserve"> further action we can take to</w:t>
      </w:r>
      <w:r w:rsidRPr="00510788">
        <w:rPr>
          <w:rFonts w:ascii="Corbel" w:hAnsi="Corbel"/>
          <w:sz w:val="24"/>
          <w:szCs w:val="24"/>
        </w:rPr>
        <w:t xml:space="preserve"> combat bias and discrimination. </w:t>
      </w:r>
      <w:r w:rsidRPr="00455693">
        <w:rPr>
          <w:rFonts w:ascii="Corbel" w:hAnsi="Corbel"/>
          <w:sz w:val="24"/>
          <w:szCs w:val="24"/>
        </w:rPr>
        <w:t xml:space="preserve">We plan to continue on our Charter journeys, using these as frameworks to help us further focus and accelerate action. We will submit for an Athena Swan Silver award in November 2023 and a Race Equality Charter Award in </w:t>
      </w:r>
      <w:r>
        <w:rPr>
          <w:rFonts w:ascii="Corbel" w:hAnsi="Corbel"/>
          <w:sz w:val="24"/>
          <w:szCs w:val="24"/>
        </w:rPr>
        <w:t>November</w:t>
      </w:r>
      <w:r w:rsidRPr="00455693">
        <w:rPr>
          <w:rFonts w:ascii="Corbel" w:hAnsi="Corbel"/>
          <w:sz w:val="24"/>
          <w:szCs w:val="24"/>
        </w:rPr>
        <w:t xml:space="preserve"> 2024. We plan to submit to the Stonewall Workplace Equality Index in 2022 and will explore elevating our Disability Confident Employer status to level 3</w:t>
      </w:r>
      <w:r>
        <w:rPr>
          <w:rFonts w:ascii="Corbel" w:hAnsi="Corbel"/>
          <w:sz w:val="24"/>
          <w:szCs w:val="24"/>
        </w:rPr>
        <w:t xml:space="preserve"> for a 2023 submission</w:t>
      </w:r>
      <w:r w:rsidRPr="00455693">
        <w:rPr>
          <w:rFonts w:ascii="Corbel" w:hAnsi="Corbel"/>
          <w:sz w:val="24"/>
          <w:szCs w:val="24"/>
        </w:rPr>
        <w:t xml:space="preserve">.  </w:t>
      </w:r>
    </w:p>
    <w:p w14:paraId="4A0784EE" w14:textId="77777777" w:rsidR="00831FE1" w:rsidRDefault="00831FE1" w:rsidP="00831FE1">
      <w:pPr>
        <w:rPr>
          <w:rFonts w:ascii="Corbel" w:hAnsi="Corbel"/>
          <w:sz w:val="24"/>
          <w:szCs w:val="24"/>
        </w:rPr>
      </w:pPr>
      <w:r w:rsidRPr="00510788">
        <w:rPr>
          <w:rFonts w:ascii="Corbel" w:hAnsi="Corbel"/>
          <w:sz w:val="24"/>
          <w:szCs w:val="24"/>
        </w:rPr>
        <w:t>Ultimately, however, we are challenging ourselves to develop our own approach to tackling inequality that extends far beyond awards and external recognition</w:t>
      </w:r>
    </w:p>
    <w:p w14:paraId="0BDF203C" w14:textId="654B185E" w:rsidR="00F13681" w:rsidRDefault="00F13681" w:rsidP="00F13681">
      <w:pPr>
        <w:rPr>
          <w:lang w:eastAsia="en-GB"/>
        </w:rPr>
      </w:pPr>
    </w:p>
    <w:p w14:paraId="4FDAFA25" w14:textId="2EFC9725" w:rsidR="006F0C5B" w:rsidRDefault="006F0C5B" w:rsidP="00CE00AE">
      <w:pPr>
        <w:pStyle w:val="Heading3"/>
        <w:numPr>
          <w:ilvl w:val="0"/>
          <w:numId w:val="37"/>
        </w:numPr>
        <w:rPr>
          <w:lang w:eastAsia="en-GB"/>
        </w:rPr>
      </w:pPr>
      <w:r>
        <w:rPr>
          <w:lang w:eastAsia="en-GB"/>
        </w:rPr>
        <w:t xml:space="preserve">Our </w:t>
      </w:r>
      <w:r w:rsidR="002238A2">
        <w:rPr>
          <w:lang w:eastAsia="en-GB"/>
        </w:rPr>
        <w:t xml:space="preserve">Staff </w:t>
      </w:r>
      <w:r>
        <w:rPr>
          <w:lang w:eastAsia="en-GB"/>
        </w:rPr>
        <w:t>Networks</w:t>
      </w:r>
    </w:p>
    <w:p w14:paraId="4EE4A603" w14:textId="276F0FDA" w:rsidR="00D26708" w:rsidRDefault="00D26708" w:rsidP="00684EA0">
      <w:pPr>
        <w:spacing w:after="0" w:line="240" w:lineRule="auto"/>
        <w:rPr>
          <w:rFonts w:ascii="Corbel" w:eastAsiaTheme="minorEastAsia" w:hAnsi="Corbel" w:cstheme="minorHAnsi"/>
          <w:color w:val="000000" w:themeColor="text1"/>
          <w:kern w:val="24"/>
          <w:sz w:val="24"/>
          <w:szCs w:val="24"/>
          <w:lang w:eastAsia="en-GB"/>
        </w:rPr>
      </w:pPr>
      <w:r w:rsidRPr="00D26708">
        <w:rPr>
          <w:rFonts w:ascii="Corbel" w:eastAsiaTheme="minorEastAsia" w:hAnsi="Corbel" w:cstheme="minorHAnsi"/>
          <w:color w:val="000000" w:themeColor="text1"/>
          <w:kern w:val="24"/>
          <w:sz w:val="24"/>
          <w:szCs w:val="24"/>
          <w:lang w:eastAsia="en-GB"/>
        </w:rPr>
        <w:t xml:space="preserve">Our </w:t>
      </w:r>
      <w:r>
        <w:rPr>
          <w:rFonts w:ascii="Corbel" w:eastAsiaTheme="minorEastAsia" w:hAnsi="Corbel" w:cstheme="minorHAnsi"/>
          <w:color w:val="000000" w:themeColor="text1"/>
          <w:kern w:val="24"/>
          <w:sz w:val="24"/>
          <w:szCs w:val="24"/>
          <w:lang w:eastAsia="en-GB"/>
        </w:rPr>
        <w:t xml:space="preserve">staff </w:t>
      </w:r>
      <w:r w:rsidRPr="00D26708">
        <w:rPr>
          <w:rFonts w:ascii="Corbel" w:eastAsiaTheme="minorEastAsia" w:hAnsi="Corbel" w:cstheme="minorHAnsi"/>
          <w:color w:val="000000" w:themeColor="text1"/>
          <w:kern w:val="24"/>
          <w:sz w:val="24"/>
          <w:szCs w:val="24"/>
          <w:lang w:eastAsia="en-GB"/>
        </w:rPr>
        <w:t xml:space="preserve">EDI Networks play key roles in </w:t>
      </w:r>
      <w:r w:rsidR="00D9462D">
        <w:rPr>
          <w:rFonts w:ascii="Corbel" w:eastAsiaTheme="minorEastAsia" w:hAnsi="Corbel" w:cstheme="minorHAnsi"/>
          <w:color w:val="000000" w:themeColor="text1"/>
          <w:kern w:val="24"/>
          <w:sz w:val="24"/>
          <w:szCs w:val="24"/>
          <w:lang w:eastAsia="en-GB"/>
        </w:rPr>
        <w:t>providing peer support</w:t>
      </w:r>
      <w:r w:rsidR="001458BC">
        <w:rPr>
          <w:rFonts w:ascii="Corbel" w:eastAsiaTheme="minorEastAsia" w:hAnsi="Corbel" w:cstheme="minorHAnsi"/>
          <w:color w:val="000000" w:themeColor="text1"/>
          <w:kern w:val="24"/>
          <w:sz w:val="24"/>
          <w:szCs w:val="24"/>
          <w:lang w:eastAsia="en-GB"/>
        </w:rPr>
        <w:t xml:space="preserve">, networking and development opportunities, and helping the College </w:t>
      </w:r>
      <w:r w:rsidRPr="00D26708">
        <w:rPr>
          <w:rFonts w:ascii="Corbel" w:eastAsiaTheme="minorEastAsia" w:hAnsi="Corbel" w:cstheme="minorHAnsi"/>
          <w:color w:val="000000" w:themeColor="text1"/>
          <w:kern w:val="24"/>
          <w:sz w:val="24"/>
          <w:szCs w:val="24"/>
          <w:lang w:eastAsia="en-GB"/>
        </w:rPr>
        <w:t>achiev</w:t>
      </w:r>
      <w:r w:rsidR="001458BC">
        <w:rPr>
          <w:rFonts w:ascii="Corbel" w:eastAsiaTheme="minorEastAsia" w:hAnsi="Corbel" w:cstheme="minorHAnsi"/>
          <w:color w:val="000000" w:themeColor="text1"/>
          <w:kern w:val="24"/>
          <w:sz w:val="24"/>
          <w:szCs w:val="24"/>
          <w:lang w:eastAsia="en-GB"/>
        </w:rPr>
        <w:t>e its</w:t>
      </w:r>
      <w:r w:rsidRPr="00D26708">
        <w:rPr>
          <w:rFonts w:ascii="Corbel" w:eastAsiaTheme="minorEastAsia" w:hAnsi="Corbel" w:cstheme="minorHAnsi"/>
          <w:color w:val="000000" w:themeColor="text1"/>
          <w:kern w:val="24"/>
          <w:sz w:val="24"/>
          <w:szCs w:val="24"/>
          <w:lang w:eastAsia="en-GB"/>
        </w:rPr>
        <w:t xml:space="preserve"> EDI ambitions</w:t>
      </w:r>
      <w:r w:rsidR="001458BC">
        <w:rPr>
          <w:rFonts w:ascii="Corbel" w:eastAsiaTheme="minorEastAsia" w:hAnsi="Corbel" w:cstheme="minorHAnsi"/>
          <w:color w:val="000000" w:themeColor="text1"/>
          <w:kern w:val="24"/>
          <w:sz w:val="24"/>
          <w:szCs w:val="24"/>
          <w:lang w:eastAsia="en-GB"/>
        </w:rPr>
        <w:t xml:space="preserve">. </w:t>
      </w:r>
      <w:r w:rsidR="00AC3FFC">
        <w:rPr>
          <w:rFonts w:ascii="Corbel" w:eastAsiaTheme="minorEastAsia" w:hAnsi="Corbel" w:cstheme="minorHAnsi"/>
          <w:color w:val="000000" w:themeColor="text1"/>
          <w:kern w:val="24"/>
          <w:sz w:val="24"/>
          <w:szCs w:val="24"/>
          <w:lang w:eastAsia="en-GB"/>
        </w:rPr>
        <w:t xml:space="preserve">Our Networks are represented throughout our EDI governance structure and </w:t>
      </w:r>
      <w:r w:rsidRPr="00D26708">
        <w:rPr>
          <w:rFonts w:ascii="Corbel" w:eastAsiaTheme="minorEastAsia" w:hAnsi="Corbel" w:cstheme="minorHAnsi"/>
          <w:color w:val="000000" w:themeColor="text1"/>
          <w:kern w:val="24"/>
          <w:sz w:val="24"/>
          <w:szCs w:val="24"/>
          <w:lang w:eastAsia="en-GB"/>
        </w:rPr>
        <w:t>continue to influence the development of p</w:t>
      </w:r>
      <w:r w:rsidR="00DE1456">
        <w:rPr>
          <w:rFonts w:ascii="Corbel" w:eastAsiaTheme="minorEastAsia" w:hAnsi="Corbel" w:cstheme="minorHAnsi"/>
          <w:color w:val="000000" w:themeColor="text1"/>
          <w:kern w:val="24"/>
          <w:sz w:val="24"/>
          <w:szCs w:val="24"/>
          <w:lang w:eastAsia="en-GB"/>
        </w:rPr>
        <w:t xml:space="preserve">olicies and </w:t>
      </w:r>
      <w:r w:rsidRPr="00D26708">
        <w:rPr>
          <w:rFonts w:ascii="Corbel" w:eastAsiaTheme="minorEastAsia" w:hAnsi="Corbel" w:cstheme="minorHAnsi"/>
          <w:color w:val="000000" w:themeColor="text1"/>
          <w:kern w:val="24"/>
          <w:sz w:val="24"/>
          <w:szCs w:val="24"/>
          <w:lang w:eastAsia="en-GB"/>
        </w:rPr>
        <w:t>processes at the University. Some of the network highlights from this year include</w:t>
      </w:r>
      <w:r w:rsidR="006D7414">
        <w:rPr>
          <w:rFonts w:ascii="Corbel" w:eastAsiaTheme="minorEastAsia" w:hAnsi="Corbel" w:cstheme="minorHAnsi"/>
          <w:color w:val="000000" w:themeColor="text1"/>
          <w:kern w:val="24"/>
          <w:sz w:val="24"/>
          <w:szCs w:val="24"/>
          <w:lang w:eastAsia="en-GB"/>
        </w:rPr>
        <w:t>…</w:t>
      </w:r>
    </w:p>
    <w:p w14:paraId="20781A0C" w14:textId="77777777" w:rsidR="00F12DCF" w:rsidRDefault="00F12DCF" w:rsidP="00684EA0">
      <w:pPr>
        <w:spacing w:after="0" w:line="240" w:lineRule="auto"/>
        <w:rPr>
          <w:rFonts w:ascii="Corbel" w:eastAsiaTheme="minorEastAsia" w:hAnsi="Corbel" w:cstheme="minorHAnsi"/>
          <w:color w:val="000000" w:themeColor="text1"/>
          <w:kern w:val="24"/>
          <w:sz w:val="24"/>
          <w:szCs w:val="24"/>
          <w:lang w:eastAsia="en-GB"/>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382"/>
      </w:tblGrid>
      <w:tr w:rsidR="00C51139" w14:paraId="49928F53" w14:textId="77777777" w:rsidTr="00C51139">
        <w:tc>
          <w:tcPr>
            <w:tcW w:w="5382" w:type="dxa"/>
            <w:shd w:val="clear" w:color="auto" w:fill="FFF2CC" w:themeFill="accent4" w:themeFillTint="33"/>
          </w:tcPr>
          <w:p w14:paraId="5C2605AA" w14:textId="77777777" w:rsidR="00C51139" w:rsidRPr="00C51139" w:rsidRDefault="00C51139" w:rsidP="00C51139">
            <w:pPr>
              <w:pStyle w:val="ListParagraph"/>
              <w:numPr>
                <w:ilvl w:val="0"/>
                <w:numId w:val="14"/>
              </w:numPr>
              <w:jc w:val="left"/>
              <w:rPr>
                <w:rFonts w:eastAsiaTheme="minorEastAsia" w:cstheme="minorHAnsi"/>
                <w:color w:val="000000" w:themeColor="text1"/>
                <w:kern w:val="24"/>
                <w:sz w:val="24"/>
                <w:szCs w:val="24"/>
                <w:lang w:eastAsia="en-GB"/>
              </w:rPr>
            </w:pPr>
            <w:r w:rsidRPr="00C51139">
              <w:rPr>
                <w:rFonts w:eastAsiaTheme="minorEastAsia" w:cstheme="minorHAnsi"/>
                <w:color w:val="000000" w:themeColor="text1"/>
                <w:kern w:val="24"/>
                <w:sz w:val="24"/>
                <w:szCs w:val="24"/>
                <w:lang w:eastAsia="en-GB"/>
              </w:rPr>
              <w:t>Black and Global Majority Network</w:t>
            </w:r>
          </w:p>
          <w:p w14:paraId="38B6574E" w14:textId="77777777" w:rsidR="00C51139" w:rsidRPr="00C51139" w:rsidRDefault="00C51139" w:rsidP="00C51139">
            <w:pPr>
              <w:pStyle w:val="ListParagraph"/>
              <w:numPr>
                <w:ilvl w:val="0"/>
                <w:numId w:val="14"/>
              </w:numPr>
              <w:jc w:val="left"/>
              <w:rPr>
                <w:rFonts w:eastAsiaTheme="minorEastAsia" w:cstheme="minorHAnsi"/>
                <w:color w:val="000000" w:themeColor="text1"/>
                <w:kern w:val="24"/>
                <w:sz w:val="24"/>
                <w:szCs w:val="24"/>
                <w:lang w:eastAsia="en-GB"/>
              </w:rPr>
            </w:pPr>
            <w:r w:rsidRPr="00C51139">
              <w:rPr>
                <w:rFonts w:eastAsiaTheme="minorEastAsia" w:cstheme="minorHAnsi"/>
                <w:color w:val="000000" w:themeColor="text1"/>
                <w:kern w:val="24"/>
                <w:sz w:val="24"/>
                <w:szCs w:val="24"/>
                <w:lang w:eastAsia="en-GB"/>
              </w:rPr>
              <w:t>Disability and Mental Health Network</w:t>
            </w:r>
          </w:p>
          <w:p w14:paraId="79B319C5" w14:textId="77777777" w:rsidR="00C51139" w:rsidRPr="00C51139" w:rsidRDefault="00C51139" w:rsidP="00C51139">
            <w:pPr>
              <w:pStyle w:val="ListParagraph"/>
              <w:numPr>
                <w:ilvl w:val="0"/>
                <w:numId w:val="14"/>
              </w:numPr>
              <w:jc w:val="left"/>
              <w:rPr>
                <w:rFonts w:eastAsiaTheme="minorEastAsia" w:cstheme="minorHAnsi"/>
                <w:color w:val="000000" w:themeColor="text1"/>
                <w:kern w:val="24"/>
                <w:sz w:val="24"/>
                <w:szCs w:val="24"/>
                <w:lang w:eastAsia="en-GB"/>
              </w:rPr>
            </w:pPr>
            <w:r w:rsidRPr="00C51139">
              <w:rPr>
                <w:rFonts w:eastAsiaTheme="minorEastAsia" w:cstheme="minorHAnsi"/>
                <w:color w:val="000000" w:themeColor="text1"/>
                <w:kern w:val="24"/>
                <w:sz w:val="24"/>
                <w:szCs w:val="24"/>
                <w:lang w:eastAsia="en-GB"/>
              </w:rPr>
              <w:t>LGBT+</w:t>
            </w:r>
          </w:p>
          <w:p w14:paraId="784D1DC4" w14:textId="60E17CE3" w:rsidR="00C51139" w:rsidRPr="00C51139" w:rsidRDefault="00C51139" w:rsidP="00C51139">
            <w:pPr>
              <w:pStyle w:val="ListParagraph"/>
              <w:numPr>
                <w:ilvl w:val="0"/>
                <w:numId w:val="14"/>
              </w:numPr>
              <w:jc w:val="left"/>
              <w:rPr>
                <w:rFonts w:eastAsiaTheme="minorEastAsia" w:cstheme="minorHAnsi"/>
                <w:color w:val="000000" w:themeColor="text1"/>
                <w:kern w:val="24"/>
                <w:sz w:val="24"/>
                <w:szCs w:val="24"/>
                <w:lang w:eastAsia="en-GB"/>
              </w:rPr>
            </w:pPr>
            <w:r w:rsidRPr="00C51139">
              <w:rPr>
                <w:rFonts w:eastAsiaTheme="minorEastAsia" w:cstheme="minorHAnsi"/>
                <w:color w:val="000000" w:themeColor="text1"/>
                <w:kern w:val="24"/>
                <w:sz w:val="24"/>
                <w:szCs w:val="24"/>
                <w:lang w:eastAsia="en-GB"/>
              </w:rPr>
              <w:t>Royal Holloway Women’s Network</w:t>
            </w:r>
          </w:p>
        </w:tc>
      </w:tr>
    </w:tbl>
    <w:p w14:paraId="10726941" w14:textId="087AD737" w:rsidR="006F0C5B" w:rsidRPr="009F4308" w:rsidRDefault="006F0C5B" w:rsidP="00684EA0">
      <w:pPr>
        <w:spacing w:after="0" w:line="240" w:lineRule="auto"/>
        <w:rPr>
          <w:rFonts w:ascii="Corbel" w:eastAsiaTheme="minorEastAsia" w:hAnsi="Corbel" w:cstheme="minorHAnsi"/>
          <w:color w:val="000000" w:themeColor="text1"/>
          <w:kern w:val="24"/>
          <w:sz w:val="24"/>
          <w:szCs w:val="24"/>
          <w:lang w:eastAsia="en-GB"/>
        </w:rPr>
      </w:pPr>
    </w:p>
    <w:p w14:paraId="4D2C7EEF" w14:textId="77777777" w:rsidR="00F23684" w:rsidRPr="004F2CE4" w:rsidRDefault="00F23684" w:rsidP="00F23684">
      <w:pPr>
        <w:pStyle w:val="NoSpacing"/>
        <w:rPr>
          <w:rFonts w:ascii="Corbel" w:hAnsi="Corbel"/>
          <w:sz w:val="24"/>
          <w:szCs w:val="24"/>
        </w:rPr>
      </w:pPr>
    </w:p>
    <w:p w14:paraId="3F0E7981" w14:textId="231D965B" w:rsidR="00F23684" w:rsidRDefault="00F23684" w:rsidP="00F23684">
      <w:pPr>
        <w:pBdr>
          <w:top w:val="single" w:sz="4" w:space="1" w:color="FF0000"/>
          <w:left w:val="single" w:sz="4" w:space="4" w:color="FF0000"/>
          <w:bottom w:val="single" w:sz="4" w:space="1" w:color="FF0000"/>
          <w:right w:val="single" w:sz="4" w:space="4" w:color="FF0000"/>
        </w:pBdr>
        <w:rPr>
          <w:rFonts w:ascii="Corbel" w:hAnsi="Corbel"/>
          <w:sz w:val="24"/>
          <w:szCs w:val="24"/>
        </w:rPr>
      </w:pPr>
      <w:r>
        <w:rPr>
          <w:rFonts w:ascii="Corbel" w:hAnsi="Corbel"/>
          <w:sz w:val="24"/>
          <w:szCs w:val="24"/>
        </w:rPr>
        <w:t xml:space="preserve">A highlight of 2021 was our event </w:t>
      </w:r>
      <w:r w:rsidRPr="00455693">
        <w:rPr>
          <w:rFonts w:ascii="Corbel" w:hAnsi="Corbel"/>
          <w:b/>
          <w:bCs/>
          <w:sz w:val="24"/>
          <w:szCs w:val="24"/>
        </w:rPr>
        <w:t>In Conversation with Baroness Doreen Lawrence OBE</w:t>
      </w:r>
      <w:r>
        <w:rPr>
          <w:rFonts w:ascii="Corbel" w:hAnsi="Corbel"/>
          <w:b/>
          <w:bCs/>
          <w:sz w:val="24"/>
          <w:szCs w:val="24"/>
        </w:rPr>
        <w:t xml:space="preserve"> </w:t>
      </w:r>
      <w:r>
        <w:rPr>
          <w:rFonts w:ascii="Corbel" w:hAnsi="Corbel"/>
          <w:sz w:val="24"/>
          <w:szCs w:val="24"/>
        </w:rPr>
        <w:t>organised by our Black and Global Majority Staff Network</w:t>
      </w:r>
      <w:r>
        <w:rPr>
          <w:rFonts w:ascii="Corbel" w:hAnsi="Corbel"/>
          <w:b/>
          <w:bCs/>
          <w:sz w:val="24"/>
          <w:szCs w:val="24"/>
        </w:rPr>
        <w:t xml:space="preserve">. </w:t>
      </w:r>
      <w:r>
        <w:rPr>
          <w:rFonts w:ascii="Corbel" w:hAnsi="Corbel"/>
          <w:sz w:val="24"/>
          <w:szCs w:val="24"/>
        </w:rPr>
        <w:t xml:space="preserve">At this event, Baroness Lawrence discussed </w:t>
      </w:r>
      <w:r w:rsidRPr="00455693">
        <w:rPr>
          <w:rFonts w:ascii="Corbel" w:hAnsi="Corbel"/>
          <w:sz w:val="24"/>
          <w:szCs w:val="24"/>
        </w:rPr>
        <w:t>her thoughts on racism, talk</w:t>
      </w:r>
      <w:r>
        <w:rPr>
          <w:rFonts w:ascii="Corbel" w:hAnsi="Corbel"/>
          <w:sz w:val="24"/>
          <w:szCs w:val="24"/>
        </w:rPr>
        <w:t>ed</w:t>
      </w:r>
      <w:r w:rsidRPr="00455693">
        <w:rPr>
          <w:rFonts w:ascii="Corbel" w:hAnsi="Corbel"/>
          <w:sz w:val="24"/>
          <w:szCs w:val="24"/>
        </w:rPr>
        <w:t xml:space="preserve"> about her charity The Stephen Lawrence Day Foundation and explore</w:t>
      </w:r>
      <w:r>
        <w:rPr>
          <w:rFonts w:ascii="Corbel" w:hAnsi="Corbel"/>
          <w:sz w:val="24"/>
          <w:szCs w:val="24"/>
        </w:rPr>
        <w:t>d</w:t>
      </w:r>
      <w:r w:rsidRPr="00455693">
        <w:rPr>
          <w:rFonts w:ascii="Corbel" w:hAnsi="Corbel"/>
          <w:sz w:val="24"/>
          <w:szCs w:val="24"/>
        </w:rPr>
        <w:t xml:space="preserve"> her hopes for the future.</w:t>
      </w:r>
      <w:r>
        <w:rPr>
          <w:rFonts w:ascii="Corbel" w:hAnsi="Corbel"/>
          <w:sz w:val="24"/>
          <w:szCs w:val="24"/>
        </w:rPr>
        <w:t xml:space="preserve"> This was a public event and participants included pupils from Schools. </w:t>
      </w:r>
    </w:p>
    <w:p w14:paraId="5A175BE0" w14:textId="77777777" w:rsidR="00F23684" w:rsidRDefault="00F23684" w:rsidP="00C9721A"/>
    <w:p w14:paraId="6E68357D" w14:textId="77777777" w:rsidR="00F23684" w:rsidRDefault="00F23684" w:rsidP="00604C8F">
      <w:pPr>
        <w:rPr>
          <w:rFonts w:ascii="Corbel" w:hAnsi="Corbel"/>
          <w:sz w:val="24"/>
          <w:szCs w:val="24"/>
        </w:rPr>
      </w:pPr>
      <w:r>
        <w:rPr>
          <w:rFonts w:ascii="Corbel" w:hAnsi="Corbel"/>
          <w:sz w:val="24"/>
          <w:szCs w:val="24"/>
        </w:rPr>
        <w:t xml:space="preserve">We marked Black History Month with a range of further events, including our 2021 Chaplaincy Lecturer God is not a White Man’ by Chine MacDonald, Head of Community Fundraising and Public Engagement at Christian Aid. </w:t>
      </w:r>
    </w:p>
    <w:p w14:paraId="1B4E86B8" w14:textId="77777777" w:rsidR="00C624F2" w:rsidRDefault="00C624F2" w:rsidP="00604C8F">
      <w:pPr>
        <w:rPr>
          <w:rFonts w:ascii="Corbel" w:hAnsi="Corbel"/>
          <w:sz w:val="24"/>
          <w:szCs w:val="24"/>
        </w:rPr>
      </w:pPr>
    </w:p>
    <w:p w14:paraId="79499805" w14:textId="77777777" w:rsidR="00CE00AE" w:rsidRDefault="00CE00AE" w:rsidP="00604C8F">
      <w:pPr>
        <w:rPr>
          <w:rFonts w:ascii="Corbel" w:hAnsi="Corbel"/>
          <w:sz w:val="24"/>
          <w:szCs w:val="24"/>
        </w:rPr>
      </w:pPr>
    </w:p>
    <w:p w14:paraId="4872E152" w14:textId="01FE5A1B" w:rsidR="009A25D5" w:rsidRPr="004D75D8" w:rsidRDefault="00CE00AE" w:rsidP="00CE00AE">
      <w:pPr>
        <w:shd w:val="clear" w:color="auto" w:fill="FFF2CC" w:themeFill="accent4" w:themeFillTint="33"/>
        <w:rPr>
          <w:rFonts w:ascii="Corbel" w:hAnsi="Corbel"/>
          <w:b/>
          <w:bCs/>
          <w:sz w:val="24"/>
          <w:szCs w:val="24"/>
        </w:rPr>
      </w:pPr>
      <w:r w:rsidRPr="004D75D8">
        <w:rPr>
          <w:rFonts w:ascii="Corbel" w:hAnsi="Corbel"/>
          <w:b/>
          <w:bCs/>
          <w:sz w:val="24"/>
          <w:szCs w:val="24"/>
        </w:rPr>
        <w:lastRenderedPageBreak/>
        <w:t>A f</w:t>
      </w:r>
      <w:r w:rsidR="000923FA" w:rsidRPr="004D75D8">
        <w:rPr>
          <w:rFonts w:ascii="Corbel" w:hAnsi="Corbel"/>
          <w:b/>
          <w:bCs/>
          <w:sz w:val="24"/>
          <w:szCs w:val="24"/>
        </w:rPr>
        <w:t>ocus on our Gender I</w:t>
      </w:r>
      <w:r w:rsidR="009A25D5" w:rsidRPr="004D75D8">
        <w:rPr>
          <w:rFonts w:ascii="Corbel" w:hAnsi="Corbel"/>
          <w:b/>
          <w:bCs/>
          <w:sz w:val="24"/>
          <w:szCs w:val="24"/>
        </w:rPr>
        <w:t xml:space="preserve">nstitute. </w:t>
      </w:r>
    </w:p>
    <w:p w14:paraId="087AE385" w14:textId="3BF38236" w:rsidR="000923FA" w:rsidRPr="009A25D5" w:rsidRDefault="009A25D5" w:rsidP="00CE00AE">
      <w:pPr>
        <w:shd w:val="clear" w:color="auto" w:fill="FFF2CC" w:themeFill="accent4" w:themeFillTint="33"/>
        <w:rPr>
          <w:rFonts w:ascii="Corbel" w:hAnsi="Corbel"/>
          <w:sz w:val="24"/>
          <w:szCs w:val="24"/>
        </w:rPr>
      </w:pPr>
      <w:r w:rsidRPr="009A25D5">
        <w:rPr>
          <w:rFonts w:ascii="Corbel" w:hAnsi="Corbel"/>
          <w:sz w:val="24"/>
          <w:szCs w:val="24"/>
        </w:rPr>
        <w:t xml:space="preserve">Founded in 2020 </w:t>
      </w:r>
      <w:r w:rsidR="004D75D8">
        <w:rPr>
          <w:rFonts w:ascii="Corbel" w:hAnsi="Corbel"/>
          <w:sz w:val="24"/>
          <w:szCs w:val="24"/>
        </w:rPr>
        <w:t xml:space="preserve">by Professor Laura Sjoberg </w:t>
      </w:r>
      <w:r w:rsidRPr="009A25D5">
        <w:rPr>
          <w:rFonts w:ascii="Corbel" w:hAnsi="Corbel"/>
          <w:sz w:val="24"/>
          <w:szCs w:val="24"/>
        </w:rPr>
        <w:t>with funding from the British Academy, the Gender Institute at Royal Holloway looks to become a hub for study, teaching, learning, and activism about gender and sexuality on campus. The Institute has three primary goals: to support faculty and student research and research collaboration in the study of gender and sexuality, to support teaching and learning of and around gender and sexuality, and to produce resources for community engagement and impact around gender and sexuality.</w:t>
      </w:r>
    </w:p>
    <w:p w14:paraId="28E06A3A" w14:textId="07D72DDC" w:rsidR="00C624F2" w:rsidRPr="004D75D8" w:rsidRDefault="00C624F2" w:rsidP="00CE00AE">
      <w:pPr>
        <w:shd w:val="clear" w:color="auto" w:fill="FFF2CC" w:themeFill="accent4" w:themeFillTint="33"/>
        <w:tabs>
          <w:tab w:val="num" w:pos="720"/>
        </w:tabs>
        <w:textAlignment w:val="baseline"/>
        <w:rPr>
          <w:rFonts w:ascii="Corbel" w:hAnsi="Corbel"/>
          <w:sz w:val="24"/>
          <w:szCs w:val="24"/>
        </w:rPr>
      </w:pPr>
      <w:r w:rsidRPr="004D75D8">
        <w:rPr>
          <w:rFonts w:ascii="Corbel" w:hAnsi="Corbel"/>
          <w:sz w:val="24"/>
          <w:szCs w:val="24"/>
        </w:rPr>
        <w:t>Gender Institute Activities 2021/22</w:t>
      </w:r>
      <w:r w:rsidR="004D75D8">
        <w:rPr>
          <w:rFonts w:ascii="Corbel" w:hAnsi="Corbel"/>
          <w:sz w:val="24"/>
          <w:szCs w:val="24"/>
        </w:rPr>
        <w:t>:</w:t>
      </w:r>
    </w:p>
    <w:p w14:paraId="44580976" w14:textId="16D1A896" w:rsidR="00246169" w:rsidRPr="009A25D5" w:rsidRDefault="00C624F2" w:rsidP="00CE00AE">
      <w:pPr>
        <w:shd w:val="clear" w:color="auto" w:fill="FFF2CC" w:themeFill="accent4" w:themeFillTint="33"/>
        <w:spacing w:after="0" w:line="240" w:lineRule="auto"/>
        <w:textAlignment w:val="baseline"/>
        <w:rPr>
          <w:rFonts w:eastAsia="Times New Roman" w:cstheme="minorHAnsi"/>
          <w:color w:val="202A30"/>
          <w:sz w:val="24"/>
          <w:szCs w:val="24"/>
          <w:bdr w:val="none" w:sz="0" w:space="0" w:color="auto" w:frame="1"/>
          <w:lang w:eastAsia="en-GB"/>
        </w:rPr>
      </w:pPr>
      <w:r w:rsidRPr="00073CB1">
        <w:rPr>
          <w:rFonts w:ascii="Corbel" w:eastAsia="Times New Roman" w:hAnsi="Corbel" w:cstheme="minorHAnsi"/>
          <w:b/>
          <w:bCs/>
          <w:color w:val="000000"/>
          <w:sz w:val="24"/>
          <w:szCs w:val="24"/>
          <w:bdr w:val="none" w:sz="0" w:space="0" w:color="auto" w:frame="1"/>
          <w:lang w:eastAsia="en-GB"/>
        </w:rPr>
        <w:t>"Scholar of the Month"</w:t>
      </w:r>
      <w:r w:rsidRPr="009A25D5">
        <w:rPr>
          <w:rFonts w:ascii="Corbel" w:eastAsia="Times New Roman" w:hAnsi="Corbel" w:cstheme="minorHAnsi"/>
          <w:color w:val="000000"/>
          <w:sz w:val="24"/>
          <w:szCs w:val="24"/>
          <w:bdr w:val="none" w:sz="0" w:space="0" w:color="auto" w:frame="1"/>
          <w:lang w:eastAsia="en-GB"/>
        </w:rPr>
        <w:t xml:space="preserve"> celebrate</w:t>
      </w:r>
      <w:r w:rsidR="005F5C00">
        <w:rPr>
          <w:rFonts w:ascii="Corbel" w:eastAsia="Times New Roman" w:hAnsi="Corbel" w:cstheme="minorHAnsi"/>
          <w:color w:val="000000"/>
          <w:sz w:val="24"/>
          <w:szCs w:val="24"/>
          <w:bdr w:val="none" w:sz="0" w:space="0" w:color="auto" w:frame="1"/>
          <w:lang w:eastAsia="en-GB"/>
        </w:rPr>
        <w:t>s</w:t>
      </w:r>
      <w:r w:rsidRPr="009A25D5">
        <w:rPr>
          <w:rFonts w:ascii="Corbel" w:eastAsia="Times New Roman" w:hAnsi="Corbel" w:cstheme="minorHAnsi"/>
          <w:color w:val="000000"/>
          <w:sz w:val="24"/>
          <w:szCs w:val="24"/>
          <w:bdr w:val="none" w:sz="0" w:space="0" w:color="auto" w:frame="1"/>
          <w:lang w:eastAsia="en-GB"/>
        </w:rPr>
        <w:t xml:space="preserve"> and publicise</w:t>
      </w:r>
      <w:r w:rsidR="005F5C00">
        <w:rPr>
          <w:rFonts w:ascii="Corbel" w:eastAsia="Times New Roman" w:hAnsi="Corbel" w:cstheme="minorHAnsi"/>
          <w:color w:val="000000"/>
          <w:sz w:val="24"/>
          <w:szCs w:val="24"/>
          <w:bdr w:val="none" w:sz="0" w:space="0" w:color="auto" w:frame="1"/>
          <w:lang w:eastAsia="en-GB"/>
        </w:rPr>
        <w:t>s</w:t>
      </w:r>
      <w:r w:rsidRPr="009A25D5">
        <w:rPr>
          <w:rFonts w:ascii="Corbel" w:eastAsia="Times New Roman" w:hAnsi="Corbel" w:cstheme="minorHAnsi"/>
          <w:color w:val="000000"/>
          <w:sz w:val="24"/>
          <w:szCs w:val="24"/>
          <w:bdr w:val="none" w:sz="0" w:space="0" w:color="auto" w:frame="1"/>
          <w:lang w:eastAsia="en-GB"/>
        </w:rPr>
        <w:t xml:space="preserve"> the gender research being undertaken </w:t>
      </w:r>
      <w:r w:rsidR="00CE514B">
        <w:rPr>
          <w:rFonts w:ascii="Corbel" w:eastAsia="Times New Roman" w:hAnsi="Corbel" w:cstheme="minorHAnsi"/>
          <w:color w:val="000000"/>
          <w:sz w:val="24"/>
          <w:szCs w:val="24"/>
          <w:bdr w:val="none" w:sz="0" w:space="0" w:color="auto" w:frame="1"/>
          <w:lang w:eastAsia="en-GB"/>
        </w:rPr>
        <w:t>at the University.</w:t>
      </w:r>
      <w:r w:rsidR="00246169">
        <w:rPr>
          <w:rFonts w:ascii="Corbel" w:eastAsia="Times New Roman" w:hAnsi="Corbel" w:cstheme="minorHAnsi"/>
          <w:color w:val="000000"/>
          <w:sz w:val="24"/>
          <w:szCs w:val="24"/>
          <w:bdr w:val="none" w:sz="0" w:space="0" w:color="auto" w:frame="1"/>
          <w:lang w:eastAsia="en-GB"/>
        </w:rPr>
        <w:t xml:space="preserve"> Scholars have included</w:t>
      </w:r>
      <w:r w:rsidR="00D865CB">
        <w:rPr>
          <w:rFonts w:ascii="Corbel" w:eastAsia="Times New Roman" w:hAnsi="Corbel" w:cstheme="minorHAnsi"/>
          <w:color w:val="000000"/>
          <w:sz w:val="24"/>
          <w:szCs w:val="24"/>
          <w:bdr w:val="none" w:sz="0" w:space="0" w:color="auto" w:frame="1"/>
          <w:lang w:eastAsia="en-GB"/>
        </w:rPr>
        <w:t>:</w:t>
      </w:r>
      <w:r w:rsidR="00246169">
        <w:rPr>
          <w:rFonts w:ascii="Corbel" w:eastAsia="Times New Roman" w:hAnsi="Corbel" w:cstheme="minorHAnsi"/>
          <w:color w:val="000000"/>
          <w:sz w:val="24"/>
          <w:szCs w:val="24"/>
          <w:bdr w:val="none" w:sz="0" w:space="0" w:color="auto" w:frame="1"/>
          <w:lang w:eastAsia="en-GB"/>
        </w:rPr>
        <w:t xml:space="preserve"> </w:t>
      </w:r>
    </w:p>
    <w:p w14:paraId="006FDE45" w14:textId="76A933FF" w:rsidR="00C624F2" w:rsidRPr="00D865CB" w:rsidRDefault="00C624F2" w:rsidP="00CE00AE">
      <w:pPr>
        <w:pStyle w:val="ListParagraph"/>
        <w:numPr>
          <w:ilvl w:val="0"/>
          <w:numId w:val="31"/>
        </w:numPr>
        <w:shd w:val="clear" w:color="auto" w:fill="FFF2CC" w:themeFill="accent4" w:themeFillTint="33"/>
        <w:jc w:val="left"/>
        <w:rPr>
          <w:rFonts w:cstheme="minorHAnsi"/>
          <w:color w:val="auto"/>
          <w:sz w:val="24"/>
          <w:szCs w:val="24"/>
        </w:rPr>
      </w:pPr>
      <w:r w:rsidRPr="009A25D5">
        <w:rPr>
          <w:rFonts w:eastAsia="Times New Roman" w:cstheme="minorHAnsi"/>
          <w:color w:val="202A30"/>
          <w:sz w:val="24"/>
          <w:szCs w:val="24"/>
          <w:bdr w:val="none" w:sz="0" w:space="0" w:color="auto" w:frame="1"/>
          <w:lang w:eastAsia="en-GB"/>
        </w:rPr>
        <w:t>Professor Katherine Brickell, “</w:t>
      </w:r>
      <w:r w:rsidRPr="009A25D5">
        <w:rPr>
          <w:rFonts w:cstheme="minorHAnsi"/>
          <w:sz w:val="24"/>
          <w:szCs w:val="24"/>
        </w:rPr>
        <w:t xml:space="preserve">‘Worn out’: Debt discipline, hunger and the gendered </w:t>
      </w:r>
      <w:r w:rsidRPr="00D865CB">
        <w:rPr>
          <w:rFonts w:cstheme="minorHAnsi"/>
          <w:color w:val="auto"/>
          <w:sz w:val="24"/>
          <w:szCs w:val="24"/>
        </w:rPr>
        <w:t>contingencies of the COVID-19 pandemic amongst Cambodian garment workers”.</w:t>
      </w:r>
    </w:p>
    <w:p w14:paraId="5EAEADD8" w14:textId="3BE495E9" w:rsidR="00C624F2" w:rsidRPr="00D865CB" w:rsidRDefault="00C624F2" w:rsidP="00CE00AE">
      <w:pPr>
        <w:pStyle w:val="ListParagraph"/>
        <w:numPr>
          <w:ilvl w:val="0"/>
          <w:numId w:val="31"/>
        </w:numPr>
        <w:shd w:val="clear" w:color="auto" w:fill="FFF2CC" w:themeFill="accent4" w:themeFillTint="33"/>
        <w:jc w:val="left"/>
        <w:textAlignment w:val="baseline"/>
        <w:rPr>
          <w:rFonts w:eastAsia="Times New Roman" w:cstheme="minorHAnsi"/>
          <w:color w:val="auto"/>
          <w:sz w:val="24"/>
          <w:szCs w:val="24"/>
          <w:lang w:eastAsia="en-GB"/>
        </w:rPr>
      </w:pPr>
      <w:r w:rsidRPr="00D865CB">
        <w:rPr>
          <w:rFonts w:eastAsia="Times New Roman" w:cstheme="minorHAnsi"/>
          <w:color w:val="auto"/>
          <w:sz w:val="24"/>
          <w:szCs w:val="24"/>
          <w:bdr w:val="none" w:sz="0" w:space="0" w:color="auto" w:frame="1"/>
          <w:lang w:eastAsia="en-GB"/>
        </w:rPr>
        <w:t>Professor Sarah Childs, “Making Representative Political Institutions Feminist”</w:t>
      </w:r>
      <w:r w:rsidR="00D865CB">
        <w:rPr>
          <w:rFonts w:eastAsia="Times New Roman" w:cstheme="minorHAnsi"/>
          <w:color w:val="auto"/>
          <w:sz w:val="24"/>
          <w:szCs w:val="24"/>
          <w:bdr w:val="none" w:sz="0" w:space="0" w:color="auto" w:frame="1"/>
          <w:lang w:eastAsia="en-GB"/>
        </w:rPr>
        <w:t>.</w:t>
      </w:r>
    </w:p>
    <w:p w14:paraId="6E501AD3" w14:textId="695C5910" w:rsidR="00C624F2" w:rsidRPr="00D865CB" w:rsidRDefault="00C624F2" w:rsidP="00CE00AE">
      <w:pPr>
        <w:pStyle w:val="ListParagraph"/>
        <w:numPr>
          <w:ilvl w:val="0"/>
          <w:numId w:val="31"/>
        </w:numPr>
        <w:shd w:val="clear" w:color="auto" w:fill="FFF2CC" w:themeFill="accent4" w:themeFillTint="33"/>
        <w:jc w:val="left"/>
        <w:textAlignment w:val="baseline"/>
        <w:rPr>
          <w:rFonts w:eastAsia="Times New Roman" w:cstheme="minorHAnsi"/>
          <w:color w:val="auto"/>
          <w:sz w:val="24"/>
          <w:szCs w:val="24"/>
          <w:lang w:eastAsia="en-GB"/>
        </w:rPr>
      </w:pPr>
      <w:r w:rsidRPr="00D865CB">
        <w:rPr>
          <w:rFonts w:eastAsia="Times New Roman" w:cstheme="minorHAnsi"/>
          <w:color w:val="auto"/>
          <w:sz w:val="24"/>
          <w:szCs w:val="24"/>
          <w:bdr w:val="none" w:sz="0" w:space="0" w:color="auto" w:frame="1"/>
          <w:lang w:eastAsia="en-GB"/>
        </w:rPr>
        <w:t>Professor Victoria Mapplebeck, "Smartphone Filmmaking as a Tool for Innovation, Intimacy, and Diversity"</w:t>
      </w:r>
      <w:r w:rsidR="00D865CB">
        <w:rPr>
          <w:rFonts w:eastAsia="Times New Roman" w:cstheme="minorHAnsi"/>
          <w:color w:val="auto"/>
          <w:sz w:val="24"/>
          <w:szCs w:val="24"/>
          <w:bdr w:val="none" w:sz="0" w:space="0" w:color="auto" w:frame="1"/>
          <w:lang w:eastAsia="en-GB"/>
        </w:rPr>
        <w:t>.</w:t>
      </w:r>
    </w:p>
    <w:p w14:paraId="78C4DCEE" w14:textId="77777777" w:rsidR="00555833" w:rsidRDefault="00555833" w:rsidP="00CE00AE">
      <w:pPr>
        <w:shd w:val="clear" w:color="auto" w:fill="FFF2CC" w:themeFill="accent4" w:themeFillTint="33"/>
        <w:spacing w:after="0" w:line="240" w:lineRule="auto"/>
        <w:textAlignment w:val="baseline"/>
        <w:rPr>
          <w:rFonts w:eastAsia="Times New Roman" w:cstheme="minorHAnsi"/>
          <w:color w:val="242424"/>
          <w:sz w:val="24"/>
          <w:szCs w:val="24"/>
          <w:lang w:eastAsia="en-GB"/>
        </w:rPr>
      </w:pPr>
    </w:p>
    <w:p w14:paraId="3B10CB61" w14:textId="55F31F24" w:rsidR="00C624F2" w:rsidRPr="00FA3F00" w:rsidRDefault="00F852DD" w:rsidP="00CE00AE">
      <w:pPr>
        <w:shd w:val="clear" w:color="auto" w:fill="FFF2CC" w:themeFill="accent4" w:themeFillTint="33"/>
        <w:spacing w:after="0" w:line="240" w:lineRule="auto"/>
        <w:textAlignment w:val="baseline"/>
        <w:rPr>
          <w:rFonts w:ascii="Corbel" w:eastAsia="Times New Roman" w:hAnsi="Corbel" w:cstheme="minorHAnsi"/>
          <w:sz w:val="24"/>
          <w:szCs w:val="24"/>
          <w:lang w:eastAsia="en-GB"/>
        </w:rPr>
      </w:pPr>
      <w:r w:rsidRPr="00073CB1">
        <w:rPr>
          <w:rFonts w:ascii="Corbel" w:eastAsia="Times New Roman" w:hAnsi="Corbel" w:cstheme="minorHAnsi"/>
          <w:b/>
          <w:bCs/>
          <w:sz w:val="24"/>
          <w:szCs w:val="24"/>
          <w:bdr w:val="none" w:sz="0" w:space="0" w:color="auto" w:frame="1"/>
          <w:lang w:eastAsia="en-GB"/>
        </w:rPr>
        <w:t xml:space="preserve">A </w:t>
      </w:r>
      <w:r w:rsidR="00C624F2" w:rsidRPr="00073CB1">
        <w:rPr>
          <w:rFonts w:ascii="Corbel" w:eastAsia="Times New Roman" w:hAnsi="Corbel" w:cstheme="minorHAnsi"/>
          <w:b/>
          <w:bCs/>
          <w:sz w:val="24"/>
          <w:szCs w:val="24"/>
          <w:bdr w:val="none" w:sz="0" w:space="0" w:color="auto" w:frame="1"/>
          <w:lang w:eastAsia="en-GB"/>
        </w:rPr>
        <w:t>Roundtable Discussion</w:t>
      </w:r>
      <w:r w:rsidR="00C624F2" w:rsidRPr="00FA3F00">
        <w:rPr>
          <w:rFonts w:ascii="Corbel" w:eastAsia="Times New Roman" w:hAnsi="Corbel" w:cstheme="minorHAnsi"/>
          <w:sz w:val="24"/>
          <w:szCs w:val="24"/>
          <w:bdr w:val="none" w:sz="0" w:space="0" w:color="auto" w:frame="1"/>
          <w:lang w:eastAsia="en-GB"/>
        </w:rPr>
        <w:t xml:space="preserve"> for Early Career Women and Non-Binary Researchers </w:t>
      </w:r>
      <w:r w:rsidR="00555833" w:rsidRPr="00FA3F00">
        <w:rPr>
          <w:rFonts w:ascii="Corbel" w:eastAsia="Times New Roman" w:hAnsi="Corbel" w:cstheme="minorHAnsi"/>
          <w:sz w:val="24"/>
          <w:szCs w:val="24"/>
          <w:bdr w:val="none" w:sz="0" w:space="0" w:color="auto" w:frame="1"/>
          <w:lang w:eastAsia="en-GB"/>
        </w:rPr>
        <w:t>(</w:t>
      </w:r>
      <w:r w:rsidR="00C624F2" w:rsidRPr="00FA3F00">
        <w:rPr>
          <w:rFonts w:ascii="Corbel" w:eastAsia="Times New Roman" w:hAnsi="Corbel" w:cstheme="minorHAnsi"/>
          <w:sz w:val="24"/>
          <w:szCs w:val="24"/>
          <w:bdr w:val="none" w:sz="0" w:space="0" w:color="auto" w:frame="1"/>
          <w:lang w:eastAsia="en-GB"/>
        </w:rPr>
        <w:t>November</w:t>
      </w:r>
      <w:r w:rsidR="00555833" w:rsidRPr="00FA3F00">
        <w:rPr>
          <w:rFonts w:ascii="Corbel" w:eastAsia="Times New Roman" w:hAnsi="Corbel" w:cstheme="minorHAnsi"/>
          <w:sz w:val="24"/>
          <w:szCs w:val="24"/>
          <w:bdr w:val="none" w:sz="0" w:space="0" w:color="auto" w:frame="1"/>
          <w:lang w:eastAsia="en-GB"/>
        </w:rPr>
        <w:t xml:space="preserve"> 2021) </w:t>
      </w:r>
      <w:r w:rsidR="00C624F2" w:rsidRPr="00FA3F00">
        <w:rPr>
          <w:rFonts w:ascii="Corbel" w:eastAsia="Times New Roman" w:hAnsi="Corbel" w:cstheme="minorHAnsi"/>
          <w:sz w:val="24"/>
          <w:szCs w:val="24"/>
          <w:bdr w:val="none" w:sz="0" w:space="0" w:color="auto" w:frame="1"/>
          <w:lang w:eastAsia="en-GB"/>
        </w:rPr>
        <w:t xml:space="preserve">with a panel of Academic staff and the Head of Organisational Development &amp; Diversity. </w:t>
      </w:r>
    </w:p>
    <w:p w14:paraId="62B186DD" w14:textId="77777777" w:rsidR="00FA3F00" w:rsidRDefault="00FA3F00" w:rsidP="00CE00AE">
      <w:pPr>
        <w:shd w:val="clear" w:color="auto" w:fill="FFF2CC" w:themeFill="accent4" w:themeFillTint="33"/>
        <w:spacing w:after="0" w:line="240" w:lineRule="auto"/>
        <w:textAlignment w:val="baseline"/>
        <w:rPr>
          <w:rFonts w:ascii="Corbel" w:eastAsia="Times New Roman" w:hAnsi="Corbel" w:cstheme="minorHAnsi"/>
          <w:color w:val="202A30"/>
          <w:sz w:val="24"/>
          <w:szCs w:val="24"/>
          <w:lang w:eastAsia="en-GB"/>
        </w:rPr>
      </w:pPr>
    </w:p>
    <w:p w14:paraId="3EFCD3DD" w14:textId="02A494B6" w:rsidR="00C624F2" w:rsidRPr="009A25D5" w:rsidRDefault="00C624F2" w:rsidP="00CE00AE">
      <w:pPr>
        <w:shd w:val="clear" w:color="auto" w:fill="FFF2CC" w:themeFill="accent4" w:themeFillTint="33"/>
        <w:spacing w:after="0" w:line="240" w:lineRule="auto"/>
        <w:textAlignment w:val="baseline"/>
        <w:rPr>
          <w:rFonts w:ascii="Corbel" w:eastAsia="Times New Roman" w:hAnsi="Corbel" w:cstheme="minorHAnsi"/>
          <w:color w:val="202A30"/>
          <w:sz w:val="24"/>
          <w:szCs w:val="24"/>
          <w:lang w:eastAsia="en-GB"/>
        </w:rPr>
      </w:pPr>
      <w:r w:rsidRPr="00073CB1">
        <w:rPr>
          <w:rFonts w:ascii="Corbel" w:eastAsia="Times New Roman" w:hAnsi="Corbel" w:cstheme="minorHAnsi"/>
          <w:b/>
          <w:bCs/>
          <w:sz w:val="24"/>
          <w:szCs w:val="24"/>
          <w:bdr w:val="none" w:sz="0" w:space="0" w:color="auto" w:frame="1"/>
          <w:lang w:eastAsia="en-GB"/>
        </w:rPr>
        <w:t>Trans Awareness Week Keynote Speech</w:t>
      </w:r>
      <w:r w:rsidRPr="00FA3F00">
        <w:rPr>
          <w:rFonts w:ascii="Corbel" w:eastAsia="Times New Roman" w:hAnsi="Corbel" w:cstheme="minorHAnsi"/>
          <w:sz w:val="24"/>
          <w:szCs w:val="24"/>
          <w:bdr w:val="none" w:sz="0" w:space="0" w:color="auto" w:frame="1"/>
          <w:lang w:eastAsia="en-GB"/>
        </w:rPr>
        <w:t>, Professor Sophie-Grace Chappell, “Gender Concepts: Gatekeepers, Engineers, and Welcomers”</w:t>
      </w:r>
      <w:r w:rsidR="00FA3F00">
        <w:rPr>
          <w:rFonts w:ascii="Corbel" w:eastAsia="Times New Roman" w:hAnsi="Corbel" w:cstheme="minorHAnsi"/>
          <w:sz w:val="24"/>
          <w:szCs w:val="24"/>
          <w:bdr w:val="none" w:sz="0" w:space="0" w:color="auto" w:frame="1"/>
          <w:lang w:eastAsia="en-GB"/>
        </w:rPr>
        <w:t xml:space="preserve">; </w:t>
      </w:r>
      <w:r w:rsidR="00FA3F00" w:rsidRPr="00FA3F00">
        <w:rPr>
          <w:rFonts w:ascii="Corbel" w:eastAsia="Times New Roman" w:hAnsi="Corbel" w:cstheme="minorHAnsi"/>
          <w:sz w:val="24"/>
          <w:szCs w:val="24"/>
          <w:bdr w:val="none" w:sz="0" w:space="0" w:color="auto" w:frame="1"/>
          <w:lang w:eastAsia="en-GB"/>
        </w:rPr>
        <w:t xml:space="preserve">co-hosted </w:t>
      </w:r>
      <w:r w:rsidR="00FA3F00" w:rsidRPr="009A25D5">
        <w:rPr>
          <w:rFonts w:ascii="Corbel" w:eastAsia="Times New Roman" w:hAnsi="Corbel" w:cstheme="minorHAnsi"/>
          <w:color w:val="202A30"/>
          <w:sz w:val="24"/>
          <w:szCs w:val="24"/>
          <w:bdr w:val="none" w:sz="0" w:space="0" w:color="auto" w:frame="1"/>
          <w:lang w:eastAsia="en-GB"/>
        </w:rPr>
        <w:t>with UCU and the Royal Holloway LGBTQ+ Network</w:t>
      </w:r>
      <w:r w:rsidR="00FA3F00">
        <w:rPr>
          <w:rFonts w:ascii="Corbel" w:eastAsia="Times New Roman" w:hAnsi="Corbel" w:cstheme="minorHAnsi"/>
          <w:sz w:val="24"/>
          <w:szCs w:val="24"/>
          <w:bdr w:val="none" w:sz="0" w:space="0" w:color="auto" w:frame="1"/>
          <w:lang w:eastAsia="en-GB"/>
        </w:rPr>
        <w:t>.</w:t>
      </w:r>
    </w:p>
    <w:p w14:paraId="04588820" w14:textId="77777777" w:rsidR="00C624F2" w:rsidRPr="009A25D5" w:rsidRDefault="00C624F2" w:rsidP="00CE00AE">
      <w:pPr>
        <w:shd w:val="clear" w:color="auto" w:fill="FFF2CC" w:themeFill="accent4" w:themeFillTint="33"/>
        <w:textAlignment w:val="baseline"/>
        <w:rPr>
          <w:rFonts w:ascii="Corbel" w:eastAsia="Times New Roman" w:hAnsi="Corbel" w:cstheme="minorHAnsi"/>
          <w:color w:val="202A30"/>
          <w:sz w:val="24"/>
          <w:szCs w:val="24"/>
          <w:lang w:eastAsia="en-GB"/>
        </w:rPr>
      </w:pPr>
    </w:p>
    <w:p w14:paraId="536AE800" w14:textId="01F815AA" w:rsidR="00C624F2" w:rsidRPr="009A25D5" w:rsidRDefault="00C624F2" w:rsidP="00CE00AE">
      <w:pPr>
        <w:shd w:val="clear" w:color="auto" w:fill="FFF2CC" w:themeFill="accent4" w:themeFillTint="33"/>
        <w:spacing w:after="0" w:line="240" w:lineRule="auto"/>
        <w:textAlignment w:val="baseline"/>
        <w:rPr>
          <w:rFonts w:ascii="Corbel" w:eastAsia="Times New Roman" w:hAnsi="Corbel" w:cstheme="minorHAnsi"/>
          <w:color w:val="202A30"/>
          <w:sz w:val="24"/>
          <w:szCs w:val="24"/>
          <w:lang w:eastAsia="en-GB"/>
        </w:rPr>
      </w:pPr>
      <w:r w:rsidRPr="00073CB1">
        <w:rPr>
          <w:rFonts w:ascii="Corbel" w:eastAsia="Times New Roman" w:hAnsi="Corbel" w:cstheme="minorHAnsi"/>
          <w:b/>
          <w:bCs/>
          <w:sz w:val="24"/>
          <w:szCs w:val="24"/>
          <w:bdr w:val="none" w:sz="0" w:space="0" w:color="auto" w:frame="1"/>
          <w:lang w:eastAsia="en-GB"/>
        </w:rPr>
        <w:t>Go Run Lead Programme</w:t>
      </w:r>
      <w:r w:rsidR="00AF3CEB" w:rsidRPr="00073CB1">
        <w:rPr>
          <w:rFonts w:ascii="Corbel" w:eastAsia="Times New Roman" w:hAnsi="Corbel" w:cstheme="minorHAnsi"/>
          <w:b/>
          <w:bCs/>
          <w:sz w:val="24"/>
          <w:szCs w:val="24"/>
          <w:bdr w:val="none" w:sz="0" w:space="0" w:color="auto" w:frame="1"/>
          <w:lang w:eastAsia="en-GB"/>
        </w:rPr>
        <w:t>s</w:t>
      </w:r>
      <w:r w:rsidRPr="00073CB1">
        <w:rPr>
          <w:rFonts w:ascii="Corbel" w:eastAsia="Times New Roman" w:hAnsi="Corbel" w:cstheme="minorHAnsi"/>
          <w:sz w:val="24"/>
          <w:szCs w:val="24"/>
          <w:bdr w:val="none" w:sz="0" w:space="0" w:color="auto" w:frame="1"/>
          <w:lang w:eastAsia="en-GB"/>
        </w:rPr>
        <w:t xml:space="preserve"> </w:t>
      </w:r>
      <w:r w:rsidRPr="009A25D5">
        <w:rPr>
          <w:rFonts w:ascii="Corbel" w:eastAsia="Times New Roman" w:hAnsi="Corbel" w:cstheme="minorHAnsi"/>
          <w:color w:val="202A30"/>
          <w:sz w:val="24"/>
          <w:szCs w:val="24"/>
          <w:bdr w:val="none" w:sz="0" w:space="0" w:color="auto" w:frame="1"/>
          <w:lang w:eastAsia="en-GB"/>
        </w:rPr>
        <w:t>with in-person networking. The</w:t>
      </w:r>
      <w:r w:rsidR="00AF3CEB">
        <w:rPr>
          <w:rFonts w:ascii="Corbel" w:eastAsia="Times New Roman" w:hAnsi="Corbel" w:cstheme="minorHAnsi"/>
          <w:color w:val="202A30"/>
          <w:sz w:val="24"/>
          <w:szCs w:val="24"/>
          <w:bdr w:val="none" w:sz="0" w:space="0" w:color="auto" w:frame="1"/>
          <w:lang w:eastAsia="en-GB"/>
        </w:rPr>
        <w:t>se are</w:t>
      </w:r>
      <w:r w:rsidRPr="009A25D5">
        <w:rPr>
          <w:rFonts w:ascii="Corbel" w:eastAsia="Times New Roman" w:hAnsi="Corbel" w:cstheme="minorHAnsi"/>
          <w:color w:val="202A30"/>
          <w:sz w:val="24"/>
          <w:szCs w:val="24"/>
          <w:bdr w:val="none" w:sz="0" w:space="0" w:color="auto" w:frame="1"/>
          <w:lang w:eastAsia="en-GB"/>
        </w:rPr>
        <w:t xml:space="preserve"> </w:t>
      </w:r>
      <w:r w:rsidRPr="009A25D5">
        <w:rPr>
          <w:rFonts w:ascii="Corbel" w:eastAsia="Times New Roman" w:hAnsi="Corbel" w:cstheme="minorHAnsi"/>
          <w:sz w:val="24"/>
          <w:szCs w:val="24"/>
          <w:bdr w:val="none" w:sz="0" w:space="0" w:color="auto" w:frame="1"/>
          <w:lang w:eastAsia="en-GB"/>
        </w:rPr>
        <w:t>for women and gender non-binary students and staff interested in either running for elected office or making a career in campaign politics.  The four seminars were entitled:</w:t>
      </w:r>
    </w:p>
    <w:p w14:paraId="47532091" w14:textId="77777777" w:rsidR="00C624F2" w:rsidRPr="009A25D5" w:rsidRDefault="00C624F2" w:rsidP="00CE00AE">
      <w:pPr>
        <w:pStyle w:val="ListParagraph"/>
        <w:numPr>
          <w:ilvl w:val="0"/>
          <w:numId w:val="32"/>
        </w:numPr>
        <w:shd w:val="clear" w:color="auto" w:fill="FFF2CC" w:themeFill="accent4" w:themeFillTint="33"/>
        <w:jc w:val="left"/>
        <w:textAlignment w:val="baseline"/>
        <w:rPr>
          <w:rFonts w:eastAsia="Times New Roman" w:cstheme="minorHAnsi"/>
          <w:color w:val="202A30"/>
          <w:sz w:val="24"/>
          <w:szCs w:val="24"/>
          <w:lang w:eastAsia="en-GB"/>
        </w:rPr>
      </w:pPr>
      <w:r w:rsidRPr="009A25D5">
        <w:rPr>
          <w:rFonts w:eastAsia="Times New Roman" w:cs="Calibri"/>
          <w:sz w:val="24"/>
          <w:szCs w:val="24"/>
        </w:rPr>
        <w:t>Ten Things to Know about Running for Office</w:t>
      </w:r>
    </w:p>
    <w:p w14:paraId="5B1528F9" w14:textId="77777777" w:rsidR="00C624F2" w:rsidRPr="009A25D5" w:rsidRDefault="00C624F2" w:rsidP="00CE00AE">
      <w:pPr>
        <w:pStyle w:val="ListParagraph"/>
        <w:numPr>
          <w:ilvl w:val="0"/>
          <w:numId w:val="32"/>
        </w:numPr>
        <w:shd w:val="clear" w:color="auto" w:fill="FFF2CC" w:themeFill="accent4" w:themeFillTint="33"/>
        <w:jc w:val="left"/>
        <w:textAlignment w:val="baseline"/>
        <w:rPr>
          <w:rFonts w:eastAsia="Times New Roman" w:cstheme="minorHAnsi"/>
          <w:color w:val="202A30"/>
          <w:sz w:val="24"/>
          <w:szCs w:val="24"/>
          <w:lang w:eastAsia="en-GB"/>
        </w:rPr>
      </w:pPr>
      <w:r w:rsidRPr="009A25D5">
        <w:rPr>
          <w:rFonts w:eastAsia="Times New Roman" w:cs="Calibri"/>
          <w:sz w:val="24"/>
          <w:szCs w:val="24"/>
        </w:rPr>
        <w:t>Campaign Training</w:t>
      </w:r>
    </w:p>
    <w:p w14:paraId="55D1D18A" w14:textId="77777777" w:rsidR="00C624F2" w:rsidRPr="009A25D5" w:rsidRDefault="00C624F2" w:rsidP="00CE00AE">
      <w:pPr>
        <w:pStyle w:val="ListParagraph"/>
        <w:numPr>
          <w:ilvl w:val="0"/>
          <w:numId w:val="32"/>
        </w:numPr>
        <w:shd w:val="clear" w:color="auto" w:fill="FFF2CC" w:themeFill="accent4" w:themeFillTint="33"/>
        <w:jc w:val="left"/>
        <w:textAlignment w:val="baseline"/>
        <w:rPr>
          <w:rFonts w:eastAsia="Times New Roman" w:cstheme="minorHAnsi"/>
          <w:color w:val="202A30"/>
          <w:sz w:val="24"/>
          <w:szCs w:val="24"/>
          <w:lang w:eastAsia="en-GB"/>
        </w:rPr>
      </w:pPr>
      <w:r w:rsidRPr="009A25D5">
        <w:rPr>
          <w:rFonts w:eastAsia="Times New Roman" w:cs="Calibri"/>
          <w:sz w:val="24"/>
          <w:szCs w:val="24"/>
        </w:rPr>
        <w:t>Violence against Women in Politics Training</w:t>
      </w:r>
    </w:p>
    <w:p w14:paraId="3A83BBCA" w14:textId="7B5D6586" w:rsidR="00C624F2" w:rsidRPr="003B7ABA" w:rsidRDefault="00C624F2" w:rsidP="00CE00AE">
      <w:pPr>
        <w:pStyle w:val="ListParagraph"/>
        <w:numPr>
          <w:ilvl w:val="0"/>
          <w:numId w:val="32"/>
        </w:numPr>
        <w:shd w:val="clear" w:color="auto" w:fill="FFF2CC" w:themeFill="accent4" w:themeFillTint="33"/>
        <w:jc w:val="left"/>
        <w:textAlignment w:val="baseline"/>
        <w:rPr>
          <w:rFonts w:eastAsia="Times New Roman" w:cstheme="minorHAnsi"/>
          <w:color w:val="202A30"/>
          <w:sz w:val="24"/>
          <w:szCs w:val="24"/>
          <w:lang w:eastAsia="en-GB"/>
        </w:rPr>
      </w:pPr>
      <w:r w:rsidRPr="009A25D5">
        <w:rPr>
          <w:rFonts w:eastAsia="Times New Roman" w:cs="Calibri"/>
          <w:sz w:val="24"/>
          <w:szCs w:val="24"/>
        </w:rPr>
        <w:t>Gender, Elections and Voting.</w:t>
      </w:r>
    </w:p>
    <w:p w14:paraId="37EC0EC3" w14:textId="77777777" w:rsidR="00073CB1" w:rsidRDefault="00073CB1" w:rsidP="00CE00AE">
      <w:pPr>
        <w:shd w:val="clear" w:color="auto" w:fill="FFF2CC" w:themeFill="accent4" w:themeFillTint="33"/>
        <w:spacing w:after="0" w:line="240" w:lineRule="auto"/>
        <w:textAlignment w:val="baseline"/>
        <w:rPr>
          <w:rFonts w:ascii="Corbel" w:hAnsi="Corbel" w:cs="Calibri"/>
          <w:color w:val="424242"/>
          <w:sz w:val="24"/>
          <w:szCs w:val="24"/>
        </w:rPr>
      </w:pPr>
    </w:p>
    <w:p w14:paraId="230CD28F" w14:textId="7F81F6F5" w:rsidR="00C624F2" w:rsidRDefault="00C624F2" w:rsidP="00CE00AE">
      <w:pPr>
        <w:shd w:val="clear" w:color="auto" w:fill="FFF2CC" w:themeFill="accent4" w:themeFillTint="33"/>
        <w:spacing w:after="0" w:line="240" w:lineRule="auto"/>
        <w:textAlignment w:val="baseline"/>
        <w:rPr>
          <w:rFonts w:ascii="Corbel" w:hAnsi="Corbel" w:cs="Calibri"/>
          <w:color w:val="424242"/>
          <w:sz w:val="24"/>
          <w:szCs w:val="24"/>
        </w:rPr>
      </w:pPr>
      <w:r w:rsidRPr="00073CB1">
        <w:rPr>
          <w:rFonts w:ascii="Corbel" w:hAnsi="Corbel" w:cs="Calibri"/>
          <w:b/>
          <w:bCs/>
          <w:color w:val="424242"/>
          <w:sz w:val="24"/>
          <w:szCs w:val="24"/>
        </w:rPr>
        <w:t>Feminist Reading Group</w:t>
      </w:r>
      <w:r w:rsidR="00C647B5">
        <w:rPr>
          <w:rFonts w:ascii="Corbel" w:hAnsi="Corbel" w:cs="Calibri"/>
          <w:color w:val="424242"/>
          <w:sz w:val="24"/>
          <w:szCs w:val="24"/>
        </w:rPr>
        <w:t xml:space="preserve"> for staff and PGR students</w:t>
      </w:r>
      <w:r w:rsidR="00E502D5">
        <w:rPr>
          <w:rFonts w:ascii="Corbel" w:hAnsi="Corbel" w:cs="Calibri"/>
          <w:color w:val="424242"/>
          <w:sz w:val="24"/>
          <w:szCs w:val="24"/>
        </w:rPr>
        <w:t xml:space="preserve">, </w:t>
      </w:r>
      <w:r w:rsidRPr="009A25D5">
        <w:rPr>
          <w:rFonts w:ascii="Corbel" w:hAnsi="Corbel" w:cs="Calibri"/>
          <w:color w:val="424242"/>
          <w:sz w:val="24"/>
          <w:szCs w:val="24"/>
        </w:rPr>
        <w:t>designed to allow brainstorming and networking</w:t>
      </w:r>
      <w:r w:rsidR="00E502D5">
        <w:rPr>
          <w:rFonts w:ascii="Corbel" w:hAnsi="Corbel" w:cs="Calibri"/>
          <w:color w:val="424242"/>
          <w:sz w:val="24"/>
          <w:szCs w:val="24"/>
        </w:rPr>
        <w:t xml:space="preserve">. </w:t>
      </w:r>
    </w:p>
    <w:p w14:paraId="0DAE305F" w14:textId="77777777" w:rsidR="003B7ABA" w:rsidRPr="009A25D5" w:rsidRDefault="003B7ABA" w:rsidP="00CE00AE">
      <w:pPr>
        <w:shd w:val="clear" w:color="auto" w:fill="FFF2CC" w:themeFill="accent4" w:themeFillTint="33"/>
        <w:spacing w:after="0" w:line="240" w:lineRule="auto"/>
        <w:textAlignment w:val="baseline"/>
        <w:rPr>
          <w:rFonts w:ascii="Corbel" w:eastAsia="Times New Roman" w:hAnsi="Corbel" w:cstheme="minorHAnsi"/>
          <w:color w:val="202A30"/>
          <w:sz w:val="24"/>
          <w:szCs w:val="24"/>
          <w:lang w:eastAsia="en-GB"/>
        </w:rPr>
      </w:pPr>
    </w:p>
    <w:p w14:paraId="6F5B65AE" w14:textId="11FDDD0D" w:rsidR="00E502D5" w:rsidRDefault="00FB066C" w:rsidP="00CE00AE">
      <w:pPr>
        <w:shd w:val="clear" w:color="auto" w:fill="FFF2CC" w:themeFill="accent4" w:themeFillTint="33"/>
        <w:spacing w:after="0" w:line="240" w:lineRule="auto"/>
        <w:textAlignment w:val="baseline"/>
        <w:rPr>
          <w:rFonts w:ascii="Corbel" w:eastAsia="Times New Roman" w:hAnsi="Corbel" w:cstheme="minorHAnsi"/>
          <w:color w:val="202A30"/>
          <w:sz w:val="24"/>
          <w:szCs w:val="24"/>
          <w:bdr w:val="none" w:sz="0" w:space="0" w:color="auto" w:frame="1"/>
          <w:lang w:eastAsia="en-GB"/>
        </w:rPr>
      </w:pPr>
      <w:r w:rsidRPr="00073CB1">
        <w:rPr>
          <w:rFonts w:ascii="Corbel" w:eastAsia="Times New Roman" w:hAnsi="Corbel" w:cstheme="minorHAnsi"/>
          <w:b/>
          <w:bCs/>
          <w:color w:val="202A30"/>
          <w:sz w:val="24"/>
          <w:szCs w:val="24"/>
          <w:bdr w:val="none" w:sz="0" w:space="0" w:color="auto" w:frame="1"/>
          <w:lang w:eastAsia="en-GB"/>
        </w:rPr>
        <w:t>Looking ahead</w:t>
      </w:r>
      <w:r>
        <w:rPr>
          <w:rFonts w:ascii="Corbel" w:eastAsia="Times New Roman" w:hAnsi="Corbel" w:cstheme="minorHAnsi"/>
          <w:color w:val="202A30"/>
          <w:sz w:val="24"/>
          <w:szCs w:val="24"/>
          <w:bdr w:val="none" w:sz="0" w:space="0" w:color="auto" w:frame="1"/>
          <w:lang w:eastAsia="en-GB"/>
        </w:rPr>
        <w:t xml:space="preserve">, The </w:t>
      </w:r>
      <w:r w:rsidR="00E502D5">
        <w:rPr>
          <w:rFonts w:ascii="Corbel" w:eastAsia="Times New Roman" w:hAnsi="Corbel" w:cstheme="minorHAnsi"/>
          <w:color w:val="202A30"/>
          <w:sz w:val="24"/>
          <w:szCs w:val="24"/>
          <w:bdr w:val="none" w:sz="0" w:space="0" w:color="auto" w:frame="1"/>
          <w:lang w:eastAsia="en-GB"/>
        </w:rPr>
        <w:t xml:space="preserve">Gender Institute </w:t>
      </w:r>
      <w:r>
        <w:rPr>
          <w:rFonts w:ascii="Corbel" w:eastAsia="Times New Roman" w:hAnsi="Corbel" w:cstheme="minorHAnsi"/>
          <w:color w:val="202A30"/>
          <w:sz w:val="24"/>
          <w:szCs w:val="24"/>
          <w:bdr w:val="none" w:sz="0" w:space="0" w:color="auto" w:frame="1"/>
          <w:lang w:eastAsia="en-GB"/>
        </w:rPr>
        <w:t xml:space="preserve">will be launching an </w:t>
      </w:r>
      <w:r w:rsidRPr="009A25D5">
        <w:rPr>
          <w:rFonts w:ascii="Corbel" w:hAnsi="Corbel"/>
          <w:sz w:val="24"/>
          <w:szCs w:val="24"/>
        </w:rPr>
        <w:t xml:space="preserve">innovative interdisciplinary MSc </w:t>
      </w:r>
      <w:r w:rsidR="00E502D5" w:rsidRPr="009A25D5">
        <w:rPr>
          <w:rFonts w:ascii="Corbel" w:eastAsia="Times New Roman" w:hAnsi="Corbel" w:cstheme="minorHAnsi"/>
          <w:color w:val="202A30"/>
          <w:sz w:val="24"/>
          <w:szCs w:val="24"/>
          <w:bdr w:val="none" w:sz="0" w:space="0" w:color="auto" w:frame="1"/>
          <w:lang w:eastAsia="en-GB"/>
        </w:rPr>
        <w:t>Gender Programme</w:t>
      </w:r>
      <w:r w:rsidR="003B7ABA">
        <w:rPr>
          <w:rFonts w:ascii="Corbel" w:eastAsia="Times New Roman" w:hAnsi="Corbel" w:cstheme="minorHAnsi"/>
          <w:color w:val="202A30"/>
          <w:sz w:val="24"/>
          <w:szCs w:val="24"/>
          <w:bdr w:val="none" w:sz="0" w:space="0" w:color="auto" w:frame="1"/>
          <w:lang w:eastAsia="en-GB"/>
        </w:rPr>
        <w:t xml:space="preserve"> in September 2024. </w:t>
      </w:r>
    </w:p>
    <w:p w14:paraId="68B9D134" w14:textId="665FCF2F" w:rsidR="00CE00AE" w:rsidRPr="009A25D5" w:rsidRDefault="00CE00AE" w:rsidP="00CE00AE">
      <w:pPr>
        <w:shd w:val="clear" w:color="auto" w:fill="FFF2CC" w:themeFill="accent4" w:themeFillTint="33"/>
        <w:spacing w:after="0" w:line="240" w:lineRule="auto"/>
        <w:textAlignment w:val="baseline"/>
        <w:rPr>
          <w:rFonts w:ascii="Corbel" w:eastAsia="Times New Roman" w:hAnsi="Corbel" w:cstheme="minorHAnsi"/>
          <w:color w:val="202A30"/>
          <w:sz w:val="24"/>
          <w:szCs w:val="24"/>
          <w:lang w:eastAsia="en-GB"/>
        </w:rPr>
      </w:pPr>
    </w:p>
    <w:p w14:paraId="3DF67D2F" w14:textId="77777777" w:rsidR="00C624F2" w:rsidRDefault="00C624F2" w:rsidP="00E502D5">
      <w:pPr>
        <w:ind w:left="360" w:hanging="360"/>
        <w:rPr>
          <w:rFonts w:eastAsia="Times New Roman" w:cstheme="minorHAnsi"/>
          <w:color w:val="202A30"/>
          <w:sz w:val="24"/>
          <w:szCs w:val="24"/>
          <w:lang w:eastAsia="en-GB"/>
        </w:rPr>
      </w:pPr>
    </w:p>
    <w:p w14:paraId="6E98AB80" w14:textId="77777777" w:rsidR="00CE00AE" w:rsidRDefault="00CE00AE" w:rsidP="00E502D5">
      <w:pPr>
        <w:ind w:left="360" w:hanging="360"/>
        <w:rPr>
          <w:rFonts w:eastAsia="Times New Roman" w:cstheme="minorHAnsi"/>
          <w:color w:val="202A30"/>
          <w:sz w:val="24"/>
          <w:szCs w:val="24"/>
          <w:lang w:eastAsia="en-GB"/>
        </w:rPr>
      </w:pPr>
    </w:p>
    <w:p w14:paraId="596B9685" w14:textId="77777777" w:rsidR="00CE00AE" w:rsidRDefault="00CE00AE" w:rsidP="00E502D5">
      <w:pPr>
        <w:ind w:left="360" w:hanging="360"/>
        <w:rPr>
          <w:rFonts w:eastAsia="Times New Roman" w:cstheme="minorHAnsi"/>
          <w:color w:val="202A30"/>
          <w:sz w:val="24"/>
          <w:szCs w:val="24"/>
          <w:lang w:eastAsia="en-GB"/>
        </w:rPr>
      </w:pPr>
    </w:p>
    <w:p w14:paraId="61B134E4" w14:textId="77777777" w:rsidR="00CE00AE" w:rsidRDefault="00CE00AE" w:rsidP="00E502D5">
      <w:pPr>
        <w:ind w:left="360" w:hanging="360"/>
        <w:rPr>
          <w:rFonts w:eastAsia="Times New Roman" w:cstheme="minorHAnsi"/>
          <w:color w:val="202A30"/>
          <w:sz w:val="24"/>
          <w:szCs w:val="24"/>
          <w:lang w:eastAsia="en-GB"/>
        </w:rPr>
      </w:pPr>
    </w:p>
    <w:p w14:paraId="4ACE68FB" w14:textId="77777777" w:rsidR="00CE00AE" w:rsidRPr="00E502D5" w:rsidRDefault="00CE00AE" w:rsidP="00E502D5">
      <w:pPr>
        <w:ind w:left="360" w:hanging="360"/>
        <w:rPr>
          <w:rFonts w:eastAsia="Times New Roman" w:cstheme="minorHAnsi"/>
          <w:color w:val="202A30"/>
          <w:sz w:val="24"/>
          <w:szCs w:val="24"/>
          <w:lang w:eastAsia="en-GB"/>
        </w:rPr>
      </w:pPr>
    </w:p>
    <w:p w14:paraId="4BF84141" w14:textId="77777777" w:rsidR="00622D32" w:rsidRPr="009E19D6" w:rsidRDefault="00622D32" w:rsidP="009E19D6">
      <w:pPr>
        <w:rPr>
          <w:lang w:val="en-US"/>
        </w:rPr>
      </w:pPr>
    </w:p>
    <w:p w14:paraId="39FC44B9" w14:textId="21F3A1DB" w:rsidR="009E19D6" w:rsidRDefault="009E19D6" w:rsidP="002238A2">
      <w:pPr>
        <w:pStyle w:val="Heading2"/>
        <w:numPr>
          <w:ilvl w:val="0"/>
          <w:numId w:val="26"/>
        </w:numPr>
      </w:pPr>
      <w:r>
        <w:t>Priorities</w:t>
      </w:r>
      <w:r w:rsidR="00735F98">
        <w:t xml:space="preserve"> 2022-2023</w:t>
      </w:r>
    </w:p>
    <w:p w14:paraId="1DE53704" w14:textId="77777777" w:rsidR="009E19D6" w:rsidRDefault="009E19D6" w:rsidP="009E19D6">
      <w:r>
        <w:t>Our priorities centre around the themes of our four strategy working groups: selection and onboarding, inclusive culture and environment, inclusive physical and digital infrastructure, and development and progression. More specifically we will focus on increasing diversity in our community through establishing a more fair and inclusive recruitment process, and ensuring our colleagues feel welcome and supported, with no barriers to access, inclusion and progression.</w:t>
      </w:r>
    </w:p>
    <w:p w14:paraId="4A79A62B" w14:textId="344B85C6" w:rsidR="00384329" w:rsidRDefault="00384329" w:rsidP="00384329">
      <w:r w:rsidRPr="00C5138E">
        <w:t>Findings from Pulse Surveys</w:t>
      </w:r>
      <w:r>
        <w:t xml:space="preserve"> carried out throughout </w:t>
      </w:r>
      <w:r w:rsidRPr="00C5138E">
        <w:t xml:space="preserve">2021 </w:t>
      </w:r>
      <w:r>
        <w:t xml:space="preserve">identified that </w:t>
      </w:r>
      <w:r w:rsidRPr="00C5138E">
        <w:t>colleagues are looking for opportunit</w:t>
      </w:r>
      <w:r>
        <w:t>ies</w:t>
      </w:r>
      <w:r w:rsidRPr="00C5138E">
        <w:t xml:space="preserve"> to grow and make a difference and a culture where everyone is able to be their best selves</w:t>
      </w:r>
      <w:r>
        <w:t xml:space="preserve">. These will be included in the key themes we will focus on for the development of the College EDI strategy 2023-2028. </w:t>
      </w:r>
    </w:p>
    <w:p w14:paraId="7D7C44B4" w14:textId="77777777" w:rsidR="009E19D6" w:rsidRDefault="009E19D6" w:rsidP="009E19D6"/>
    <w:p w14:paraId="2364ACB2" w14:textId="77777777" w:rsidR="009E19D6" w:rsidRPr="00735F98" w:rsidRDefault="009E19D6" w:rsidP="00735F98">
      <w:pPr>
        <w:pBdr>
          <w:top w:val="single" w:sz="4" w:space="1" w:color="FF0000"/>
          <w:left w:val="single" w:sz="4" w:space="4" w:color="FF0000"/>
          <w:bottom w:val="single" w:sz="4" w:space="1" w:color="FF0000"/>
          <w:right w:val="single" w:sz="4" w:space="4" w:color="FF0000"/>
        </w:pBdr>
        <w:shd w:val="clear" w:color="auto" w:fill="E2EFD9" w:themeFill="accent6" w:themeFillTint="33"/>
        <w:rPr>
          <w:rFonts w:ascii="Corbel" w:hAnsi="Corbel"/>
          <w:sz w:val="24"/>
          <w:szCs w:val="24"/>
        </w:rPr>
      </w:pPr>
      <w:r w:rsidRPr="00735F98">
        <w:rPr>
          <w:rFonts w:ascii="Corbel" w:hAnsi="Corbel"/>
          <w:sz w:val="24"/>
          <w:szCs w:val="24"/>
        </w:rPr>
        <w:t>Some key objectives for 2022-2023 are as follows:</w:t>
      </w:r>
    </w:p>
    <w:p w14:paraId="6841F384" w14:textId="77777777" w:rsidR="009E19D6" w:rsidRPr="00735F98" w:rsidRDefault="009E19D6" w:rsidP="00735F98">
      <w:pPr>
        <w:pStyle w:val="ListParagraph"/>
        <w:numPr>
          <w:ilvl w:val="0"/>
          <w:numId w:val="10"/>
        </w:numPr>
        <w:pBdr>
          <w:top w:val="single" w:sz="4" w:space="1" w:color="FF0000"/>
          <w:left w:val="single" w:sz="4" w:space="4" w:color="FF0000"/>
          <w:bottom w:val="single" w:sz="4" w:space="1" w:color="FF0000"/>
          <w:right w:val="single" w:sz="4" w:space="4" w:color="FF0000"/>
        </w:pBdr>
        <w:shd w:val="clear" w:color="auto" w:fill="E2EFD9" w:themeFill="accent6" w:themeFillTint="33"/>
        <w:rPr>
          <w:sz w:val="24"/>
          <w:szCs w:val="24"/>
        </w:rPr>
      </w:pPr>
      <w:r w:rsidRPr="00735F98">
        <w:rPr>
          <w:b/>
          <w:bCs/>
          <w:sz w:val="24"/>
          <w:szCs w:val="24"/>
        </w:rPr>
        <w:t>Develop our EDI Framework and EDI Guiding Principles</w:t>
      </w:r>
      <w:r w:rsidRPr="00735F98">
        <w:rPr>
          <w:sz w:val="24"/>
          <w:szCs w:val="24"/>
        </w:rPr>
        <w:t xml:space="preserve"> to bring a focus and coherence to our EDI work.</w:t>
      </w:r>
    </w:p>
    <w:p w14:paraId="4527FA66" w14:textId="0E8F9BF4" w:rsidR="009E19D6" w:rsidRPr="00735F98" w:rsidRDefault="009E19D6" w:rsidP="00735F98">
      <w:pPr>
        <w:pStyle w:val="ListParagraph"/>
        <w:numPr>
          <w:ilvl w:val="0"/>
          <w:numId w:val="10"/>
        </w:numPr>
        <w:pBdr>
          <w:top w:val="single" w:sz="4" w:space="1" w:color="FF0000"/>
          <w:left w:val="single" w:sz="4" w:space="4" w:color="FF0000"/>
          <w:bottom w:val="single" w:sz="4" w:space="1" w:color="FF0000"/>
          <w:right w:val="single" w:sz="4" w:space="4" w:color="FF0000"/>
        </w:pBdr>
        <w:shd w:val="clear" w:color="auto" w:fill="E2EFD9" w:themeFill="accent6" w:themeFillTint="33"/>
        <w:rPr>
          <w:sz w:val="24"/>
          <w:szCs w:val="24"/>
        </w:rPr>
      </w:pPr>
      <w:r w:rsidRPr="00735F98">
        <w:rPr>
          <w:b/>
          <w:bCs/>
          <w:sz w:val="24"/>
          <w:szCs w:val="24"/>
        </w:rPr>
        <w:t>Carry out an audit of our recruitment process</w:t>
      </w:r>
      <w:r w:rsidRPr="00735F98">
        <w:rPr>
          <w:sz w:val="24"/>
          <w:szCs w:val="24"/>
        </w:rPr>
        <w:t xml:space="preserve"> to ensure it is fair and inclusive with barriers removed for all applicants. </w:t>
      </w:r>
    </w:p>
    <w:p w14:paraId="29BE0707" w14:textId="77777777" w:rsidR="009E19D6" w:rsidRPr="00735F98" w:rsidRDefault="009E19D6" w:rsidP="00735F98">
      <w:pPr>
        <w:pStyle w:val="ListParagraph"/>
        <w:numPr>
          <w:ilvl w:val="0"/>
          <w:numId w:val="10"/>
        </w:numPr>
        <w:pBdr>
          <w:top w:val="single" w:sz="4" w:space="1" w:color="FF0000"/>
          <w:left w:val="single" w:sz="4" w:space="4" w:color="FF0000"/>
          <w:bottom w:val="single" w:sz="4" w:space="1" w:color="FF0000"/>
          <w:right w:val="single" w:sz="4" w:space="4" w:color="FF0000"/>
        </w:pBdr>
        <w:shd w:val="clear" w:color="auto" w:fill="E2EFD9" w:themeFill="accent6" w:themeFillTint="33"/>
        <w:rPr>
          <w:sz w:val="24"/>
          <w:szCs w:val="24"/>
        </w:rPr>
      </w:pPr>
      <w:r w:rsidRPr="00735F98">
        <w:rPr>
          <w:b/>
          <w:bCs/>
          <w:sz w:val="24"/>
          <w:szCs w:val="24"/>
        </w:rPr>
        <w:t>Launch mandatory Inclusive Leadership Training for our managers</w:t>
      </w:r>
      <w:r w:rsidRPr="00735F98">
        <w:rPr>
          <w:sz w:val="24"/>
          <w:szCs w:val="24"/>
        </w:rPr>
        <w:t xml:space="preserve">. Our managers play a crucial role in setting and nurturing the culture and environment that is needed to support everyone to be their best. </w:t>
      </w:r>
    </w:p>
    <w:p w14:paraId="7A206790" w14:textId="77777777" w:rsidR="009E19D6" w:rsidRPr="00735F98" w:rsidRDefault="009E19D6" w:rsidP="00735F98">
      <w:pPr>
        <w:pStyle w:val="ListParagraph"/>
        <w:numPr>
          <w:ilvl w:val="0"/>
          <w:numId w:val="10"/>
        </w:numPr>
        <w:pBdr>
          <w:top w:val="single" w:sz="4" w:space="1" w:color="FF0000"/>
          <w:left w:val="single" w:sz="4" w:space="4" w:color="FF0000"/>
          <w:bottom w:val="single" w:sz="4" w:space="1" w:color="FF0000"/>
          <w:right w:val="single" w:sz="4" w:space="4" w:color="FF0000"/>
        </w:pBdr>
        <w:shd w:val="clear" w:color="auto" w:fill="E2EFD9" w:themeFill="accent6" w:themeFillTint="33"/>
        <w:rPr>
          <w:sz w:val="24"/>
          <w:szCs w:val="24"/>
        </w:rPr>
      </w:pPr>
      <w:r w:rsidRPr="00735F98">
        <w:rPr>
          <w:b/>
          <w:bCs/>
          <w:sz w:val="24"/>
          <w:szCs w:val="24"/>
        </w:rPr>
        <w:t>Strengthen awareness around and support for peri/menopause</w:t>
      </w:r>
      <w:r w:rsidRPr="00735F98">
        <w:rPr>
          <w:sz w:val="24"/>
          <w:szCs w:val="24"/>
        </w:rPr>
        <w:t>.</w:t>
      </w:r>
    </w:p>
    <w:p w14:paraId="4831FF37" w14:textId="77777777" w:rsidR="009E19D6" w:rsidRPr="00735F98" w:rsidRDefault="009E19D6" w:rsidP="00735F98">
      <w:pPr>
        <w:pStyle w:val="ListParagraph"/>
        <w:numPr>
          <w:ilvl w:val="0"/>
          <w:numId w:val="10"/>
        </w:numPr>
        <w:pBdr>
          <w:top w:val="single" w:sz="4" w:space="1" w:color="FF0000"/>
          <w:left w:val="single" w:sz="4" w:space="4" w:color="FF0000"/>
          <w:bottom w:val="single" w:sz="4" w:space="1" w:color="FF0000"/>
          <w:right w:val="single" w:sz="4" w:space="4" w:color="FF0000"/>
        </w:pBdr>
        <w:shd w:val="clear" w:color="auto" w:fill="E2EFD9" w:themeFill="accent6" w:themeFillTint="33"/>
        <w:rPr>
          <w:sz w:val="24"/>
          <w:szCs w:val="24"/>
        </w:rPr>
      </w:pPr>
      <w:r w:rsidRPr="00735F98">
        <w:rPr>
          <w:b/>
          <w:bCs/>
          <w:sz w:val="24"/>
          <w:szCs w:val="24"/>
        </w:rPr>
        <w:t>Review our academic promotions process</w:t>
      </w:r>
      <w:r w:rsidRPr="00735F98">
        <w:rPr>
          <w:sz w:val="24"/>
          <w:szCs w:val="24"/>
        </w:rPr>
        <w:t xml:space="preserve"> to ensure it is fair and there are no barriers to progression.</w:t>
      </w:r>
    </w:p>
    <w:p w14:paraId="4118BD38" w14:textId="65B97E67" w:rsidR="009E19D6" w:rsidRPr="00735F98" w:rsidRDefault="00735F98" w:rsidP="00735F98">
      <w:pPr>
        <w:pStyle w:val="ListParagraph"/>
        <w:numPr>
          <w:ilvl w:val="0"/>
          <w:numId w:val="10"/>
        </w:numPr>
        <w:pBdr>
          <w:top w:val="single" w:sz="4" w:space="1" w:color="FF0000"/>
          <w:left w:val="single" w:sz="4" w:space="4" w:color="FF0000"/>
          <w:bottom w:val="single" w:sz="4" w:space="1" w:color="FF0000"/>
          <w:right w:val="single" w:sz="4" w:space="4" w:color="FF0000"/>
        </w:pBdr>
        <w:shd w:val="clear" w:color="auto" w:fill="E2EFD9" w:themeFill="accent6" w:themeFillTint="33"/>
        <w:rPr>
          <w:sz w:val="24"/>
          <w:szCs w:val="24"/>
        </w:rPr>
      </w:pPr>
      <w:r w:rsidRPr="00735F98">
        <w:rPr>
          <w:b/>
          <w:bCs/>
          <w:sz w:val="24"/>
          <w:szCs w:val="24"/>
        </w:rPr>
        <w:t>Ra</w:t>
      </w:r>
      <w:r w:rsidR="009E19D6" w:rsidRPr="00735F98">
        <w:rPr>
          <w:b/>
          <w:bCs/>
          <w:sz w:val="24"/>
          <w:szCs w:val="24"/>
        </w:rPr>
        <w:t>ise awareness around disability and access</w:t>
      </w:r>
      <w:r w:rsidR="009E19D6" w:rsidRPr="00735F98">
        <w:rPr>
          <w:sz w:val="24"/>
          <w:szCs w:val="24"/>
        </w:rPr>
        <w:t xml:space="preserve">, including equipping our community with the knowledge to designing accessible processes and practices.  </w:t>
      </w:r>
    </w:p>
    <w:p w14:paraId="6D1FD7D2" w14:textId="3006C3BB" w:rsidR="009E19D6" w:rsidRPr="00735F98" w:rsidRDefault="009E19D6" w:rsidP="00735F98">
      <w:pPr>
        <w:pStyle w:val="ListParagraph"/>
        <w:numPr>
          <w:ilvl w:val="0"/>
          <w:numId w:val="10"/>
        </w:numPr>
        <w:pBdr>
          <w:top w:val="single" w:sz="4" w:space="1" w:color="FF0000"/>
          <w:left w:val="single" w:sz="4" w:space="4" w:color="FF0000"/>
          <w:bottom w:val="single" w:sz="4" w:space="1" w:color="FF0000"/>
          <w:right w:val="single" w:sz="4" w:space="4" w:color="FF0000"/>
        </w:pBdr>
        <w:shd w:val="clear" w:color="auto" w:fill="E2EFD9" w:themeFill="accent6" w:themeFillTint="33"/>
        <w:rPr>
          <w:sz w:val="24"/>
          <w:szCs w:val="24"/>
        </w:rPr>
      </w:pPr>
      <w:r w:rsidRPr="00735F98">
        <w:rPr>
          <w:b/>
          <w:bCs/>
          <w:sz w:val="24"/>
          <w:szCs w:val="24"/>
        </w:rPr>
        <w:t>Develop reporting processes</w:t>
      </w:r>
      <w:r w:rsidRPr="00735F98">
        <w:rPr>
          <w:sz w:val="24"/>
          <w:szCs w:val="24"/>
        </w:rPr>
        <w:t xml:space="preserve"> for staff and students</w:t>
      </w:r>
      <w:r w:rsidR="00DF5B48">
        <w:rPr>
          <w:sz w:val="24"/>
          <w:szCs w:val="24"/>
        </w:rPr>
        <w:t xml:space="preserve"> to </w:t>
      </w:r>
      <w:r w:rsidR="00BF4B6E">
        <w:rPr>
          <w:sz w:val="24"/>
          <w:szCs w:val="24"/>
        </w:rPr>
        <w:t>report</w:t>
      </w:r>
      <w:r w:rsidR="008D2313">
        <w:rPr>
          <w:sz w:val="24"/>
          <w:szCs w:val="24"/>
        </w:rPr>
        <w:t xml:space="preserve"> on incidents of bullying and harassment</w:t>
      </w:r>
      <w:r w:rsidR="005A6BD8">
        <w:rPr>
          <w:sz w:val="24"/>
          <w:szCs w:val="24"/>
        </w:rPr>
        <w:t>, both</w:t>
      </w:r>
      <w:r w:rsidR="000B371B">
        <w:rPr>
          <w:sz w:val="24"/>
          <w:szCs w:val="24"/>
        </w:rPr>
        <w:t xml:space="preserve"> named and anonymously. </w:t>
      </w:r>
    </w:p>
    <w:p w14:paraId="152A0AF1" w14:textId="77777777" w:rsidR="00D53323" w:rsidRDefault="00D53323" w:rsidP="00C9721A"/>
    <w:p w14:paraId="3B15D7D8" w14:textId="65C11C9F" w:rsidR="00380CA2" w:rsidRPr="00C9721A" w:rsidRDefault="00380CA2" w:rsidP="00C9721A">
      <w:r>
        <w:br w:type="page"/>
      </w:r>
    </w:p>
    <w:p w14:paraId="4F81AD9B" w14:textId="4B2D3B72" w:rsidR="002C1290" w:rsidRPr="00A26C47" w:rsidRDefault="53EF48EB" w:rsidP="00C63D22">
      <w:pPr>
        <w:pStyle w:val="Heading2"/>
        <w:numPr>
          <w:ilvl w:val="0"/>
          <w:numId w:val="28"/>
        </w:numPr>
        <w:spacing w:after="160"/>
      </w:pPr>
      <w:r w:rsidRPr="001E5985">
        <w:lastRenderedPageBreak/>
        <w:t>E</w:t>
      </w:r>
      <w:r w:rsidR="00DE221D" w:rsidRPr="001E5985">
        <w:t xml:space="preserve">quality, </w:t>
      </w:r>
      <w:r w:rsidRPr="001E5985">
        <w:t>D</w:t>
      </w:r>
      <w:r w:rsidR="00DE221D" w:rsidRPr="001E5985">
        <w:t xml:space="preserve">iversity and </w:t>
      </w:r>
      <w:r w:rsidRPr="001E5985">
        <w:t>I</w:t>
      </w:r>
      <w:r w:rsidR="00DE221D" w:rsidRPr="001E5985">
        <w:t>nclusion</w:t>
      </w:r>
      <w:r w:rsidRPr="001E5985">
        <w:t xml:space="preserve"> Data</w:t>
      </w:r>
      <w:r w:rsidR="002C1290" w:rsidRPr="001E5985">
        <w:t xml:space="preserve"> 2022</w:t>
      </w:r>
    </w:p>
    <w:p w14:paraId="7CD1CAE4" w14:textId="135E89E3" w:rsidR="00380CA2" w:rsidRPr="002C1290" w:rsidRDefault="53EF48EB" w:rsidP="00C63D22">
      <w:pPr>
        <w:rPr>
          <w:sz w:val="24"/>
          <w:szCs w:val="24"/>
        </w:rPr>
      </w:pPr>
      <w:r w:rsidRPr="002C1290">
        <w:rPr>
          <w:rFonts w:ascii="Corbel" w:eastAsia="Corbel" w:hAnsi="Corbel" w:cs="Corbel"/>
          <w:color w:val="000000" w:themeColor="text1"/>
          <w:sz w:val="24"/>
          <w:szCs w:val="24"/>
        </w:rPr>
        <w:t>This report presents data showing the diversity and representation of salaried staff – the group indicated in figure 1 below.  The data includes all staff with an active contract and therefore includes staff on unpaid parental leave and unpaid sickness.</w:t>
      </w:r>
    </w:p>
    <w:tbl>
      <w:tblPr>
        <w:tblW w:w="8921" w:type="dxa"/>
        <w:tblLayout w:type="fixed"/>
        <w:tblLook w:val="0420" w:firstRow="1" w:lastRow="0" w:firstColumn="0" w:lastColumn="0" w:noHBand="0" w:noVBand="1"/>
      </w:tblPr>
      <w:tblGrid>
        <w:gridCol w:w="1650"/>
        <w:gridCol w:w="2077"/>
        <w:gridCol w:w="2167"/>
        <w:gridCol w:w="3027"/>
      </w:tblGrid>
      <w:tr w:rsidR="007102C4" w:rsidRPr="002C1290" w14:paraId="273765BA" w14:textId="77777777" w:rsidTr="004B2234">
        <w:trPr>
          <w:trHeight w:val="600"/>
        </w:trPr>
        <w:tc>
          <w:tcPr>
            <w:tcW w:w="1650" w:type="dxa"/>
            <w:tcBorders>
              <w:top w:val="single" w:sz="8" w:space="0" w:color="auto"/>
              <w:left w:val="single" w:sz="8" w:space="0" w:color="auto"/>
              <w:bottom w:val="single" w:sz="8" w:space="0" w:color="auto"/>
              <w:right w:val="single" w:sz="8" w:space="0" w:color="auto"/>
            </w:tcBorders>
            <w:shd w:val="clear" w:color="auto" w:fill="F4B084"/>
            <w:tcMar>
              <w:top w:w="72" w:type="dxa"/>
              <w:left w:w="144" w:type="dxa"/>
              <w:bottom w:w="72" w:type="dxa"/>
              <w:right w:w="144" w:type="dxa"/>
            </w:tcMar>
          </w:tcPr>
          <w:p w14:paraId="6DAED86F" w14:textId="012AB521" w:rsidR="007102C4" w:rsidRPr="002C1290" w:rsidRDefault="007102C4" w:rsidP="00A26C47">
            <w:pPr>
              <w:spacing w:after="120"/>
              <w:jc w:val="center"/>
              <w:rPr>
                <w:sz w:val="24"/>
                <w:szCs w:val="24"/>
              </w:rPr>
            </w:pPr>
            <w:r w:rsidRPr="002C1290">
              <w:rPr>
                <w:rFonts w:ascii="Corbel" w:eastAsia="Corbel" w:hAnsi="Corbel" w:cs="Corbel"/>
                <w:b/>
                <w:bCs/>
                <w:color w:val="000000" w:themeColor="text1"/>
                <w:sz w:val="24"/>
                <w:szCs w:val="24"/>
              </w:rPr>
              <w:t>Employment arrangement</w:t>
            </w:r>
          </w:p>
        </w:tc>
        <w:tc>
          <w:tcPr>
            <w:tcW w:w="2077" w:type="dxa"/>
            <w:tcBorders>
              <w:top w:val="single" w:sz="8" w:space="0" w:color="auto"/>
              <w:left w:val="single" w:sz="8" w:space="0" w:color="auto"/>
              <w:bottom w:val="single" w:sz="8" w:space="0" w:color="auto"/>
              <w:right w:val="single" w:sz="8" w:space="0" w:color="auto"/>
            </w:tcBorders>
            <w:shd w:val="clear" w:color="auto" w:fill="F4B084"/>
            <w:tcMar>
              <w:top w:w="72" w:type="dxa"/>
              <w:left w:w="144" w:type="dxa"/>
              <w:bottom w:w="72" w:type="dxa"/>
              <w:right w:w="144" w:type="dxa"/>
            </w:tcMar>
          </w:tcPr>
          <w:p w14:paraId="0E047BC6" w14:textId="6494CC3F" w:rsidR="007102C4" w:rsidRPr="002C1290" w:rsidRDefault="007102C4" w:rsidP="00A26C47">
            <w:pPr>
              <w:spacing w:after="120"/>
              <w:jc w:val="center"/>
              <w:rPr>
                <w:sz w:val="24"/>
                <w:szCs w:val="24"/>
              </w:rPr>
            </w:pPr>
            <w:r w:rsidRPr="002C1290">
              <w:rPr>
                <w:rFonts w:ascii="Corbel" w:eastAsia="Corbel" w:hAnsi="Corbel" w:cs="Corbel"/>
                <w:b/>
                <w:bCs/>
                <w:color w:val="000000" w:themeColor="text1"/>
                <w:sz w:val="24"/>
                <w:szCs w:val="24"/>
              </w:rPr>
              <w:t>Example post titles</w:t>
            </w:r>
          </w:p>
        </w:tc>
        <w:tc>
          <w:tcPr>
            <w:tcW w:w="2167" w:type="dxa"/>
            <w:tcBorders>
              <w:top w:val="single" w:sz="8" w:space="0" w:color="auto"/>
              <w:left w:val="single" w:sz="8" w:space="0" w:color="auto"/>
              <w:bottom w:val="single" w:sz="8" w:space="0" w:color="auto"/>
              <w:right w:val="single" w:sz="8" w:space="0" w:color="auto"/>
            </w:tcBorders>
            <w:shd w:val="clear" w:color="auto" w:fill="F4B084"/>
            <w:tcMar>
              <w:top w:w="72" w:type="dxa"/>
              <w:left w:w="144" w:type="dxa"/>
              <w:bottom w:w="72" w:type="dxa"/>
              <w:right w:w="144" w:type="dxa"/>
            </w:tcMar>
          </w:tcPr>
          <w:p w14:paraId="078FD23E" w14:textId="27E662B5" w:rsidR="007102C4" w:rsidRPr="002C1290" w:rsidRDefault="007102C4" w:rsidP="00A26C47">
            <w:pPr>
              <w:spacing w:after="120"/>
              <w:jc w:val="center"/>
              <w:rPr>
                <w:sz w:val="24"/>
                <w:szCs w:val="24"/>
              </w:rPr>
            </w:pPr>
            <w:r w:rsidRPr="002C1290">
              <w:rPr>
                <w:rFonts w:ascii="Corbel" w:eastAsia="Corbel" w:hAnsi="Corbel" w:cs="Corbel"/>
                <w:b/>
                <w:bCs/>
                <w:color w:val="000000" w:themeColor="text1"/>
                <w:sz w:val="24"/>
                <w:szCs w:val="24"/>
              </w:rPr>
              <w:t>July 2021</w:t>
            </w:r>
          </w:p>
        </w:tc>
        <w:tc>
          <w:tcPr>
            <w:tcW w:w="3027" w:type="dxa"/>
            <w:tcBorders>
              <w:top w:val="single" w:sz="8" w:space="0" w:color="auto"/>
              <w:left w:val="single" w:sz="8" w:space="0" w:color="auto"/>
              <w:bottom w:val="single" w:sz="8" w:space="0" w:color="auto"/>
              <w:right w:val="single" w:sz="8" w:space="0" w:color="auto"/>
            </w:tcBorders>
            <w:shd w:val="clear" w:color="auto" w:fill="F4B084"/>
            <w:tcMar>
              <w:top w:w="72" w:type="dxa"/>
              <w:left w:w="144" w:type="dxa"/>
              <w:bottom w:w="72" w:type="dxa"/>
              <w:right w:w="144" w:type="dxa"/>
            </w:tcMar>
          </w:tcPr>
          <w:p w14:paraId="22214748" w14:textId="5D1E1033" w:rsidR="007102C4" w:rsidRPr="002C1290" w:rsidRDefault="007102C4" w:rsidP="00A26C47">
            <w:pPr>
              <w:spacing w:after="120"/>
              <w:jc w:val="center"/>
              <w:rPr>
                <w:sz w:val="24"/>
                <w:szCs w:val="24"/>
              </w:rPr>
            </w:pPr>
            <w:r w:rsidRPr="002C1290">
              <w:rPr>
                <w:rFonts w:ascii="Corbel" w:eastAsia="Corbel" w:hAnsi="Corbel" w:cs="Corbel"/>
                <w:b/>
                <w:bCs/>
                <w:color w:val="000000" w:themeColor="text1"/>
                <w:sz w:val="24"/>
                <w:szCs w:val="24"/>
              </w:rPr>
              <w:t>July 2022</w:t>
            </w:r>
          </w:p>
        </w:tc>
      </w:tr>
      <w:tr w:rsidR="007102C4" w:rsidRPr="002C1290" w14:paraId="06C7C3A7" w14:textId="77777777" w:rsidTr="007102C4">
        <w:trPr>
          <w:trHeight w:val="300"/>
        </w:trPr>
        <w:tc>
          <w:tcPr>
            <w:tcW w:w="165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40D0AA26" w14:textId="4484B903" w:rsidR="007102C4" w:rsidRPr="002C1290" w:rsidRDefault="007102C4" w:rsidP="00A26C47">
            <w:pPr>
              <w:spacing w:after="120"/>
              <w:rPr>
                <w:sz w:val="24"/>
                <w:szCs w:val="24"/>
              </w:rPr>
            </w:pPr>
            <w:r w:rsidRPr="002C1290">
              <w:rPr>
                <w:rFonts w:ascii="Corbel" w:eastAsia="Corbel" w:hAnsi="Corbel" w:cs="Corbel"/>
                <w:sz w:val="24"/>
                <w:szCs w:val="24"/>
              </w:rPr>
              <w:t>Salaried contracts</w:t>
            </w:r>
          </w:p>
        </w:tc>
        <w:tc>
          <w:tcPr>
            <w:tcW w:w="2077"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3504D990" w14:textId="5EC1D5A5" w:rsidR="007102C4" w:rsidRPr="002C1290" w:rsidRDefault="007102C4" w:rsidP="00A26C47">
            <w:pPr>
              <w:spacing w:after="120"/>
              <w:rPr>
                <w:sz w:val="24"/>
                <w:szCs w:val="24"/>
              </w:rPr>
            </w:pPr>
            <w:r w:rsidRPr="002C1290">
              <w:rPr>
                <w:rFonts w:ascii="Corbel" w:eastAsia="Corbel" w:hAnsi="Corbel" w:cs="Corbel"/>
                <w:sz w:val="24"/>
                <w:szCs w:val="24"/>
              </w:rPr>
              <w:t>Regular, ongoing employment</w:t>
            </w:r>
          </w:p>
          <w:p w14:paraId="0294BB3D" w14:textId="6EBA05C6" w:rsidR="007102C4" w:rsidRPr="002C1290" w:rsidRDefault="007102C4" w:rsidP="00A26C47">
            <w:pPr>
              <w:spacing w:after="120"/>
              <w:rPr>
                <w:sz w:val="24"/>
                <w:szCs w:val="24"/>
              </w:rPr>
            </w:pPr>
            <w:r w:rsidRPr="002C1290">
              <w:rPr>
                <w:rFonts w:ascii="Corbel" w:eastAsia="Corbel" w:hAnsi="Corbel" w:cs="Corbel"/>
                <w:sz w:val="24"/>
                <w:szCs w:val="24"/>
              </w:rPr>
              <w:t>Lecturer, manager, administrator, customer services</w:t>
            </w:r>
          </w:p>
        </w:tc>
        <w:tc>
          <w:tcPr>
            <w:tcW w:w="2167"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1775816B" w14:textId="2DFCFF85" w:rsidR="007102C4" w:rsidRPr="002C1290" w:rsidRDefault="007102C4" w:rsidP="00A26C47">
            <w:pPr>
              <w:spacing w:after="120"/>
              <w:rPr>
                <w:sz w:val="24"/>
                <w:szCs w:val="24"/>
              </w:rPr>
            </w:pPr>
            <w:r w:rsidRPr="002C1290">
              <w:rPr>
                <w:rFonts w:ascii="Corbel" w:eastAsia="Corbel" w:hAnsi="Corbel" w:cs="Corbel"/>
                <w:sz w:val="24"/>
                <w:szCs w:val="24"/>
              </w:rPr>
              <w:t>1688 headcount (main post only)</w:t>
            </w:r>
          </w:p>
          <w:p w14:paraId="56BC4487" w14:textId="5B7CC4EE" w:rsidR="007102C4" w:rsidRPr="002C1290" w:rsidRDefault="007102C4" w:rsidP="00A26C47">
            <w:pPr>
              <w:spacing w:after="120"/>
              <w:rPr>
                <w:sz w:val="24"/>
                <w:szCs w:val="24"/>
              </w:rPr>
            </w:pPr>
            <w:r w:rsidRPr="002C1290">
              <w:rPr>
                <w:rFonts w:ascii="Corbel" w:eastAsia="Corbel" w:hAnsi="Corbel" w:cs="Corbel"/>
                <w:sz w:val="24"/>
                <w:szCs w:val="24"/>
              </w:rPr>
              <w:t>1550.2 FTE (all posts)</w:t>
            </w:r>
          </w:p>
        </w:tc>
        <w:tc>
          <w:tcPr>
            <w:tcW w:w="3027"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419FCEB9" w14:textId="1029BA5C" w:rsidR="007102C4" w:rsidRPr="002C1290" w:rsidRDefault="007102C4" w:rsidP="00A26C47">
            <w:pPr>
              <w:spacing w:after="120"/>
              <w:rPr>
                <w:sz w:val="24"/>
                <w:szCs w:val="24"/>
              </w:rPr>
            </w:pPr>
            <w:r w:rsidRPr="002C1290">
              <w:rPr>
                <w:rFonts w:ascii="Corbel" w:eastAsia="Corbel" w:hAnsi="Corbel" w:cs="Corbel"/>
                <w:sz w:val="24"/>
                <w:szCs w:val="24"/>
              </w:rPr>
              <w:t>1773 headcount (main post only)</w:t>
            </w:r>
          </w:p>
          <w:p w14:paraId="0D3B9400" w14:textId="17AB6958" w:rsidR="007102C4" w:rsidRPr="002C1290" w:rsidRDefault="007102C4" w:rsidP="00A26C47">
            <w:pPr>
              <w:spacing w:after="120"/>
              <w:rPr>
                <w:sz w:val="24"/>
                <w:szCs w:val="24"/>
              </w:rPr>
            </w:pPr>
            <w:r w:rsidRPr="002C1290">
              <w:rPr>
                <w:rFonts w:ascii="Corbel" w:eastAsia="Corbel" w:hAnsi="Corbel" w:cs="Corbel"/>
                <w:sz w:val="24"/>
                <w:szCs w:val="24"/>
              </w:rPr>
              <w:t>1624.1 FTE (all posts)</w:t>
            </w:r>
          </w:p>
        </w:tc>
      </w:tr>
    </w:tbl>
    <w:p w14:paraId="1B594BD8" w14:textId="2CDC9572" w:rsidR="00380CA2" w:rsidRPr="002C1290" w:rsidRDefault="00A84B17" w:rsidP="00A84B17">
      <w:pPr>
        <w:spacing w:after="0" w:line="240" w:lineRule="auto"/>
        <w:jc w:val="right"/>
        <w:rPr>
          <w:sz w:val="24"/>
          <w:szCs w:val="24"/>
        </w:rPr>
      </w:pPr>
      <w:r w:rsidRPr="001303EF">
        <w:rPr>
          <w:rFonts w:ascii="Corbel" w:hAnsi="Corbel" w:cstheme="minorHAnsi"/>
          <w:noProof/>
          <w:sz w:val="24"/>
          <w:szCs w:val="24"/>
        </w:rPr>
        <mc:AlternateContent>
          <mc:Choice Requires="wps">
            <w:drawing>
              <wp:anchor distT="45720" distB="45720" distL="114300" distR="114300" simplePos="0" relativeHeight="251685906" behindDoc="0" locked="0" layoutInCell="1" allowOverlap="1" wp14:anchorId="3E31995A" wp14:editId="1F72560E">
                <wp:simplePos x="0" y="0"/>
                <wp:positionH relativeFrom="margin">
                  <wp:align>right</wp:align>
                </wp:positionH>
                <wp:positionV relativeFrom="paragraph">
                  <wp:posOffset>64770</wp:posOffset>
                </wp:positionV>
                <wp:extent cx="2675255" cy="200025"/>
                <wp:effectExtent l="0" t="0" r="0" b="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00025"/>
                        </a:xfrm>
                        <a:prstGeom prst="rect">
                          <a:avLst/>
                        </a:prstGeom>
                        <a:noFill/>
                        <a:ln w="9525">
                          <a:noFill/>
                          <a:miter lim="800000"/>
                          <a:headEnd/>
                          <a:tailEnd/>
                        </a:ln>
                      </wps:spPr>
                      <wps:txbx>
                        <w:txbxContent>
                          <w:p w14:paraId="733199F7" w14:textId="1C2C7D42" w:rsidR="00A84B17" w:rsidRPr="00846AC5" w:rsidRDefault="00A84B17" w:rsidP="00A84B17">
                            <w:pPr>
                              <w:jc w:val="right"/>
                              <w:rPr>
                                <w:sz w:val="18"/>
                                <w:szCs w:val="18"/>
                              </w:rPr>
                            </w:pPr>
                            <w:r w:rsidRPr="00846AC5">
                              <w:rPr>
                                <w:sz w:val="18"/>
                                <w:szCs w:val="18"/>
                              </w:rPr>
                              <w:t xml:space="preserve">Figure </w:t>
                            </w:r>
                            <w:r>
                              <w:rPr>
                                <w:sz w:val="18"/>
                                <w:szCs w:val="18"/>
                              </w:rPr>
                              <w:t>1</w:t>
                            </w:r>
                            <w:r w:rsidRPr="00846AC5">
                              <w:rPr>
                                <w:sz w:val="18"/>
                                <w:szCs w:val="18"/>
                              </w:rPr>
                              <w:t xml:space="preserve"> – </w:t>
                            </w:r>
                            <w:r w:rsidR="007102C4">
                              <w:rPr>
                                <w:sz w:val="18"/>
                                <w:szCs w:val="18"/>
                              </w:rPr>
                              <w:t>staff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1995A" id="_x0000_t202" coordsize="21600,21600" o:spt="202" path="m,l,21600r21600,l21600,xe">
                <v:stroke joinstyle="miter"/>
                <v:path gradientshapeok="t" o:connecttype="rect"/>
              </v:shapetype>
              <v:shape id="Text Box 205" o:spid="_x0000_s1026" type="#_x0000_t202" style="position:absolute;left:0;text-align:left;margin-left:159.45pt;margin-top:5.1pt;width:210.65pt;height:15.75pt;z-index:25168590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" filled="f" stroked="f">
                <v:textbox>
                  <w:txbxContent>
                    <w:p w14:paraId="733199F7" w14:textId="1C2C7D42" w:rsidR="00A84B17" w:rsidRPr="00846AC5" w:rsidRDefault="00A84B17" w:rsidP="00A84B17">
                      <w:pPr>
                        <w:jc w:val="right"/>
                        <w:rPr>
                          <w:sz w:val="18"/>
                          <w:szCs w:val="18"/>
                        </w:rPr>
                      </w:pPr>
                      <w:r w:rsidRPr="00846AC5">
                        <w:rPr>
                          <w:sz w:val="18"/>
                          <w:szCs w:val="18"/>
                        </w:rPr>
                        <w:t xml:space="preserve">Figure </w:t>
                      </w:r>
                      <w:r>
                        <w:rPr>
                          <w:sz w:val="18"/>
                          <w:szCs w:val="18"/>
                        </w:rPr>
                        <w:t>1</w:t>
                      </w:r>
                      <w:r w:rsidRPr="00846AC5">
                        <w:rPr>
                          <w:sz w:val="18"/>
                          <w:szCs w:val="18"/>
                        </w:rPr>
                        <w:t xml:space="preserve"> – </w:t>
                      </w:r>
                      <w:r w:rsidR="007102C4">
                        <w:rPr>
                          <w:sz w:val="18"/>
                          <w:szCs w:val="18"/>
                        </w:rPr>
                        <w:t>staff summary</w:t>
                      </w:r>
                    </w:p>
                  </w:txbxContent>
                </v:textbox>
                <w10:wrap type="square" anchorx="margin"/>
              </v:shape>
            </w:pict>
          </mc:Fallback>
        </mc:AlternateContent>
      </w:r>
    </w:p>
    <w:p w14:paraId="69949F60" w14:textId="77777777" w:rsidR="00A84B17" w:rsidRDefault="00A84B17" w:rsidP="00C9721A">
      <w:pPr>
        <w:rPr>
          <w:rFonts w:ascii="Corbel" w:eastAsia="Corbel" w:hAnsi="Corbel" w:cs="Corbel"/>
          <w:sz w:val="24"/>
          <w:szCs w:val="24"/>
        </w:rPr>
      </w:pPr>
    </w:p>
    <w:p w14:paraId="66C731BC" w14:textId="005C2218" w:rsidR="00380CA2" w:rsidRPr="002C1290" w:rsidRDefault="53EF48EB" w:rsidP="00C9721A">
      <w:pPr>
        <w:rPr>
          <w:sz w:val="24"/>
          <w:szCs w:val="24"/>
        </w:rPr>
      </w:pPr>
      <w:r w:rsidRPr="002C1290">
        <w:rPr>
          <w:rFonts w:ascii="Corbel" w:eastAsia="Corbel" w:hAnsi="Corbel" w:cs="Corbel"/>
          <w:sz w:val="24"/>
          <w:szCs w:val="24"/>
        </w:rPr>
        <w:t>D</w:t>
      </w:r>
      <w:r w:rsidRPr="002C1290">
        <w:rPr>
          <w:rFonts w:ascii="Corbel" w:eastAsia="Corbel" w:hAnsi="Corbel" w:cs="Corbel"/>
          <w:color w:val="000000" w:themeColor="text1"/>
          <w:sz w:val="24"/>
          <w:szCs w:val="24"/>
        </w:rPr>
        <w:t>ata for this group is presented to enable identification of solutions in relation to its needs and employment context.  Different analysis is needed for hourly paid staff including visiting teachers, which steers towards more targeted solutions for the needs of this group.</w:t>
      </w:r>
    </w:p>
    <w:p w14:paraId="07F9615A" w14:textId="7DB375B1" w:rsidR="00380CA2" w:rsidRPr="002C1290" w:rsidRDefault="53EF48EB" w:rsidP="00C9721A">
      <w:pPr>
        <w:rPr>
          <w:sz w:val="24"/>
          <w:szCs w:val="24"/>
        </w:rPr>
      </w:pPr>
      <w:r w:rsidRPr="002C1290">
        <w:rPr>
          <w:rFonts w:ascii="Corbel" w:eastAsia="Corbel" w:hAnsi="Corbel" w:cs="Corbel"/>
          <w:color w:val="000000" w:themeColor="text1"/>
          <w:sz w:val="24"/>
          <w:szCs w:val="24"/>
        </w:rPr>
        <w:t>The report gives an overview by protected characteristic, with a snapshot date of 31 July 2022 used in relation to the data reported for 2021-2022.  For location, it is also based on the primary organisational home of a member of staff, rather than job role</w:t>
      </w:r>
    </w:p>
    <w:p w14:paraId="51343ECC" w14:textId="183655A2" w:rsidR="00380CA2" w:rsidRPr="002C1290" w:rsidRDefault="53EF48EB" w:rsidP="00A26C47">
      <w:pPr>
        <w:pStyle w:val="Heading2"/>
        <w:tabs>
          <w:tab w:val="left" w:pos="0"/>
          <w:tab w:val="left" w:pos="426"/>
        </w:tabs>
        <w:spacing w:after="240"/>
        <w:rPr>
          <w:sz w:val="24"/>
          <w:szCs w:val="24"/>
        </w:rPr>
      </w:pPr>
      <w:r w:rsidRPr="002C1290">
        <w:rPr>
          <w:rFonts w:ascii="Corbel" w:eastAsia="Corbel" w:hAnsi="Corbel" w:cs="Corbel"/>
          <w:color w:val="000000" w:themeColor="text1"/>
          <w:sz w:val="24"/>
          <w:szCs w:val="24"/>
        </w:rPr>
        <w:t>We report on colleagues’ sex (female/male) rather than their gender (e.g. man/woman/ non-binary) as this is what the university currently collects from colleagues due to the requirement to return this information to HM Revenue and Customs, which requires legal sex information to be known for all colleagues. We recognise sex does not equate with gender and that gender is not binary, and we aspire to enhance our data collection and reporting on gender data in the future.</w:t>
      </w:r>
    </w:p>
    <w:p w14:paraId="6AD5870E" w14:textId="252A29B6" w:rsidR="002C1290" w:rsidRPr="00A26C47" w:rsidRDefault="53EF48EB" w:rsidP="00A26C47">
      <w:pPr>
        <w:pStyle w:val="Heading2"/>
        <w:tabs>
          <w:tab w:val="left" w:pos="0"/>
          <w:tab w:val="left" w:pos="426"/>
        </w:tabs>
        <w:spacing w:after="240"/>
        <w:rPr>
          <w:rFonts w:ascii="Corbel" w:eastAsia="Corbel" w:hAnsi="Corbel" w:cs="Corbel"/>
          <w:color w:val="000000" w:themeColor="text1"/>
          <w:sz w:val="24"/>
          <w:szCs w:val="24"/>
        </w:rPr>
      </w:pPr>
      <w:r w:rsidRPr="002C1290">
        <w:rPr>
          <w:rFonts w:ascii="Corbel" w:eastAsia="Corbel" w:hAnsi="Corbel" w:cs="Corbel"/>
          <w:color w:val="000000" w:themeColor="text1"/>
          <w:sz w:val="24"/>
          <w:szCs w:val="24"/>
        </w:rPr>
        <w:t>The term “LGBT+” is used throughout the report, although data relating to sexual orientation does not include gender identity.  The term is used to demonstrate inclusivity of transgender colleagues, even though this data does not demonstrate reflection of transgender representation.</w:t>
      </w:r>
    </w:p>
    <w:p w14:paraId="499A7771" w14:textId="2CCFE993" w:rsidR="00380CA2" w:rsidRPr="002C1290" w:rsidRDefault="53EF48EB" w:rsidP="00A26C47">
      <w:pPr>
        <w:pStyle w:val="Heading2"/>
        <w:tabs>
          <w:tab w:val="left" w:pos="0"/>
          <w:tab w:val="left" w:pos="426"/>
        </w:tabs>
        <w:spacing w:after="240"/>
        <w:rPr>
          <w:sz w:val="24"/>
          <w:szCs w:val="24"/>
        </w:rPr>
      </w:pPr>
      <w:r w:rsidRPr="002C1290">
        <w:rPr>
          <w:rFonts w:ascii="Corbel" w:eastAsia="Corbel" w:hAnsi="Corbel" w:cs="Corbel"/>
          <w:color w:val="000000" w:themeColor="text1"/>
          <w:sz w:val="24"/>
          <w:szCs w:val="24"/>
        </w:rPr>
        <w:t xml:space="preserve">Advance HE’s </w:t>
      </w:r>
      <w:r w:rsidRPr="002C1290">
        <w:rPr>
          <w:rFonts w:ascii="Corbel" w:eastAsia="Corbel" w:hAnsi="Corbel" w:cs="Corbel"/>
          <w:i/>
          <w:iCs/>
          <w:color w:val="000000" w:themeColor="text1"/>
          <w:sz w:val="24"/>
          <w:szCs w:val="24"/>
        </w:rPr>
        <w:t xml:space="preserve">Equality + Higher Education – Staff Statistical Report 2022 </w:t>
      </w:r>
      <w:r w:rsidRPr="002C1290">
        <w:rPr>
          <w:rFonts w:ascii="Corbel" w:eastAsia="Corbel" w:hAnsi="Corbel" w:cs="Corbel"/>
          <w:color w:val="000000" w:themeColor="text1"/>
          <w:sz w:val="24"/>
          <w:szCs w:val="24"/>
        </w:rPr>
        <w:t>has been cited as a sector benchmark.  This draws on HESA data for 2020-21, which is the most recent report.</w:t>
      </w:r>
    </w:p>
    <w:p w14:paraId="6A7A559F" w14:textId="6CFE9C8C" w:rsidR="00380CA2" w:rsidRPr="001303EF" w:rsidRDefault="53EF48EB" w:rsidP="002C1290">
      <w:pPr>
        <w:rPr>
          <w:rFonts w:ascii="Corbel" w:eastAsia="Calibri" w:hAnsi="Corbel" w:cs="Calibri"/>
          <w:color w:val="000000" w:themeColor="text1"/>
          <w:sz w:val="24"/>
          <w:szCs w:val="24"/>
        </w:rPr>
      </w:pPr>
      <w:r w:rsidRPr="001303EF">
        <w:rPr>
          <w:rFonts w:ascii="Corbel" w:eastAsia="Calibri" w:hAnsi="Corbel" w:cs="Calibri"/>
          <w:color w:val="000000" w:themeColor="text1"/>
          <w:sz w:val="24"/>
          <w:szCs w:val="24"/>
        </w:rPr>
        <w:t>Data sharing principles have been applied, and analysis is not shown for groups where fewer than 10 individuals are represented</w:t>
      </w:r>
      <w:r w:rsidR="00F42D8E">
        <w:rPr>
          <w:rFonts w:ascii="Corbel" w:eastAsia="Calibri" w:hAnsi="Corbel" w:cs="Calibri"/>
          <w:color w:val="000000" w:themeColor="text1"/>
          <w:sz w:val="24"/>
          <w:szCs w:val="24"/>
        </w:rPr>
        <w:t>.</w:t>
      </w:r>
    </w:p>
    <w:p w14:paraId="7A1A590C" w14:textId="77777777" w:rsidR="00C61867" w:rsidRPr="001303EF" w:rsidRDefault="00C61867" w:rsidP="00C61867">
      <w:pPr>
        <w:pStyle w:val="Heading2"/>
        <w:rPr>
          <w:rFonts w:ascii="Corbel" w:hAnsi="Corbel" w:cstheme="minorHAnsi"/>
          <w:b/>
          <w:bCs/>
          <w:sz w:val="24"/>
          <w:szCs w:val="24"/>
        </w:rPr>
      </w:pPr>
      <w:r w:rsidRPr="001303EF">
        <w:rPr>
          <w:rFonts w:ascii="Corbel" w:hAnsi="Corbel" w:cstheme="minorHAnsi"/>
          <w:b/>
          <w:bCs/>
          <w:sz w:val="24"/>
          <w:szCs w:val="24"/>
        </w:rPr>
        <w:lastRenderedPageBreak/>
        <w:t>Representation by protected characteristic</w:t>
      </w:r>
    </w:p>
    <w:p w14:paraId="5FD708E9" w14:textId="77777777" w:rsidR="00C61867" w:rsidRDefault="00C61867" w:rsidP="00C61867">
      <w:pPr>
        <w:pStyle w:val="Heading2"/>
        <w:rPr>
          <w:sz w:val="22"/>
          <w:szCs w:val="22"/>
        </w:rPr>
      </w:pPr>
    </w:p>
    <w:p w14:paraId="4AFA180F" w14:textId="1E66D141" w:rsidR="001303EF" w:rsidRPr="001303EF" w:rsidRDefault="00C61867" w:rsidP="001303EF">
      <w:pPr>
        <w:pStyle w:val="Heading2"/>
        <w:spacing w:after="240"/>
        <w:rPr>
          <w:rFonts w:ascii="Corbel" w:hAnsi="Corbel" w:cstheme="minorHAnsi"/>
          <w:sz w:val="24"/>
          <w:szCs w:val="24"/>
        </w:rPr>
      </w:pPr>
      <w:r w:rsidRPr="001303EF">
        <w:rPr>
          <w:rFonts w:ascii="Corbel" w:hAnsi="Corbel" w:cstheme="minorHAnsi"/>
          <w:noProof/>
          <w:sz w:val="24"/>
          <w:szCs w:val="24"/>
        </w:rPr>
        <w:drawing>
          <wp:anchor distT="0" distB="0" distL="114300" distR="114300" simplePos="0" relativeHeight="251658240" behindDoc="1" locked="0" layoutInCell="1" allowOverlap="1" wp14:anchorId="7626FFEE" wp14:editId="513553BB">
            <wp:simplePos x="0" y="0"/>
            <wp:positionH relativeFrom="column">
              <wp:posOffset>2623820</wp:posOffset>
            </wp:positionH>
            <wp:positionV relativeFrom="paragraph">
              <wp:posOffset>137976</wp:posOffset>
            </wp:positionV>
            <wp:extent cx="3458845" cy="2305685"/>
            <wp:effectExtent l="0" t="0" r="8255" b="0"/>
            <wp:wrapThrough wrapText="bothSides">
              <wp:wrapPolygon edited="0">
                <wp:start x="0" y="0"/>
                <wp:lineTo x="0" y="21416"/>
                <wp:lineTo x="21533" y="21416"/>
                <wp:lineTo x="21533" y="0"/>
                <wp:lineTo x="0" y="0"/>
              </wp:wrapPolygon>
            </wp:wrapThrough>
            <wp:docPr id="2" name="Chart 2">
              <a:extLst xmlns:a="http://schemas.openxmlformats.org/drawingml/2006/main">
                <a:ext uri="{FF2B5EF4-FFF2-40B4-BE49-F238E27FC236}">
                  <a16:creationId xmlns:a16="http://schemas.microsoft.com/office/drawing/2014/main" id="{4BE5E58F-35F7-D307-F19F-474864C7C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1303EF">
        <w:rPr>
          <w:rFonts w:ascii="Corbel" w:hAnsi="Corbel" w:cstheme="minorHAnsi"/>
          <w:sz w:val="24"/>
          <w:szCs w:val="24"/>
        </w:rPr>
        <w:t>Sex</w:t>
      </w:r>
    </w:p>
    <w:p w14:paraId="50C3247C" w14:textId="63B5F3B6" w:rsidR="00C61867" w:rsidRPr="00ED280E" w:rsidRDefault="00C61867" w:rsidP="001E5985">
      <w:pPr>
        <w:rPr>
          <w:rFonts w:ascii="Corbel" w:hAnsi="Corbel" w:cstheme="minorHAnsi"/>
          <w:sz w:val="24"/>
          <w:szCs w:val="24"/>
        </w:rPr>
      </w:pPr>
      <w:r w:rsidRPr="00ED280E">
        <w:rPr>
          <w:rFonts w:ascii="Corbel" w:hAnsi="Corbel" w:cstheme="minorHAnsi"/>
          <w:sz w:val="24"/>
          <w:szCs w:val="24"/>
        </w:rPr>
        <w:t xml:space="preserve">Figure 2 shows that in July 2022 52.5% of </w:t>
      </w:r>
      <w:r w:rsidR="00ED280E" w:rsidRPr="00ED280E">
        <w:rPr>
          <w:rFonts w:ascii="Corbel" w:hAnsi="Corbel" w:cstheme="minorHAnsi"/>
          <w:sz w:val="24"/>
          <w:szCs w:val="24"/>
        </w:rPr>
        <w:t>colleagu</w:t>
      </w:r>
      <w:r w:rsidRPr="00ED280E">
        <w:rPr>
          <w:rFonts w:ascii="Corbel" w:hAnsi="Corbel" w:cstheme="minorHAnsi"/>
          <w:sz w:val="24"/>
          <w:szCs w:val="24"/>
        </w:rPr>
        <w:t>e</w:t>
      </w:r>
      <w:r w:rsidR="00ED280E" w:rsidRPr="00ED280E">
        <w:rPr>
          <w:rFonts w:ascii="Corbel" w:hAnsi="Corbel" w:cstheme="minorHAnsi"/>
          <w:sz w:val="24"/>
          <w:szCs w:val="24"/>
        </w:rPr>
        <w:t>s</w:t>
      </w:r>
      <w:r w:rsidRPr="00ED280E">
        <w:rPr>
          <w:rFonts w:ascii="Corbel" w:hAnsi="Corbel" w:cstheme="minorHAnsi"/>
          <w:sz w:val="24"/>
          <w:szCs w:val="24"/>
        </w:rPr>
        <w:t xml:space="preserve"> were female, representing a 0.5 percentage point drop since 2021.  </w:t>
      </w:r>
      <w:r w:rsidR="00ED280E" w:rsidRPr="00ED280E">
        <w:rPr>
          <w:rFonts w:ascii="Corbel" w:hAnsi="Corbel"/>
          <w:sz w:val="24"/>
          <w:szCs w:val="24"/>
        </w:rPr>
        <w:t xml:space="preserve">This is less than the sector average, which is reported as 62.6%.  </w:t>
      </w:r>
    </w:p>
    <w:p w14:paraId="660BE24D" w14:textId="03A50F56" w:rsidR="00C61867" w:rsidRPr="001303EF" w:rsidRDefault="00EB228E" w:rsidP="00C61867">
      <w:pPr>
        <w:rPr>
          <w:rFonts w:ascii="Corbel" w:hAnsi="Corbel" w:cstheme="minorHAnsi"/>
          <w:sz w:val="24"/>
          <w:szCs w:val="24"/>
        </w:rPr>
      </w:pPr>
      <w:r w:rsidRPr="001303EF">
        <w:rPr>
          <w:rFonts w:ascii="Corbel" w:hAnsi="Corbel" w:cstheme="minorHAnsi"/>
          <w:noProof/>
          <w:sz w:val="24"/>
          <w:szCs w:val="24"/>
        </w:rPr>
        <mc:AlternateContent>
          <mc:Choice Requires="wps">
            <w:drawing>
              <wp:anchor distT="45720" distB="45720" distL="114300" distR="114300" simplePos="0" relativeHeight="251658241" behindDoc="0" locked="0" layoutInCell="1" allowOverlap="1" wp14:anchorId="05DA19F5" wp14:editId="1AEE2C3B">
                <wp:simplePos x="0" y="0"/>
                <wp:positionH relativeFrom="margin">
                  <wp:posOffset>3306445</wp:posOffset>
                </wp:positionH>
                <wp:positionV relativeFrom="paragraph">
                  <wp:posOffset>925195</wp:posOffset>
                </wp:positionV>
                <wp:extent cx="2675255"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404620"/>
                        </a:xfrm>
                        <a:prstGeom prst="rect">
                          <a:avLst/>
                        </a:prstGeom>
                        <a:noFill/>
                        <a:ln w="9525">
                          <a:noFill/>
                          <a:miter lim="800000"/>
                          <a:headEnd/>
                          <a:tailEnd/>
                        </a:ln>
                      </wps:spPr>
                      <wps:txbx>
                        <w:txbxContent>
                          <w:p w14:paraId="33E3C750" w14:textId="77777777" w:rsidR="00C61867" w:rsidRPr="00BC7CCC" w:rsidRDefault="00C61867" w:rsidP="00BC7CCC">
                            <w:pPr>
                              <w:spacing w:after="0" w:line="240" w:lineRule="auto"/>
                              <w:jc w:val="right"/>
                              <w:rPr>
                                <w:rFonts w:ascii="Corbel" w:hAnsi="Corbel"/>
                                <w:sz w:val="20"/>
                                <w:szCs w:val="20"/>
                              </w:rPr>
                            </w:pPr>
                            <w:r w:rsidRPr="00BC7CCC">
                              <w:rPr>
                                <w:rFonts w:ascii="Corbel" w:hAnsi="Corbel"/>
                                <w:sz w:val="20"/>
                                <w:szCs w:val="20"/>
                              </w:rPr>
                              <w:t>Figure 2 – representation by sex, 2018 -2022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A19F5" id="Text Box 217" o:spid="_x0000_s1027" type="#_x0000_t202" style="position:absolute;margin-left:260.35pt;margin-top:72.85pt;width:210.6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" filled="f" stroked="f">
                <v:textbox style="mso-fit-shape-to-text:t">
                  <w:txbxContent>
                    <w:p w14:paraId="33E3C750" w14:textId="77777777" w:rsidR="00C61867" w:rsidRPr="00BC7CCC" w:rsidRDefault="00C61867" w:rsidP="00BC7CCC">
                      <w:pPr>
                        <w:spacing w:after="0" w:line="240" w:lineRule="auto"/>
                        <w:jc w:val="right"/>
                        <w:rPr>
                          <w:rFonts w:ascii="Corbel" w:hAnsi="Corbel"/>
                          <w:sz w:val="20"/>
                          <w:szCs w:val="20"/>
                        </w:rPr>
                      </w:pPr>
                      <w:r w:rsidRPr="00BC7CCC">
                        <w:rPr>
                          <w:rFonts w:ascii="Corbel" w:hAnsi="Corbel"/>
                          <w:sz w:val="20"/>
                          <w:szCs w:val="20"/>
                        </w:rPr>
                        <w:t>Figure 2 – representation by sex, 2018 -2022</w:t>
                      </w:r>
                    </w:p>
                  </w:txbxContent>
                </v:textbox>
                <w10:wrap type="square" anchorx="margin"/>
              </v:shape>
            </w:pict>
          </mc:Fallback>
        </mc:AlternateContent>
      </w:r>
      <w:r w:rsidR="00C61867" w:rsidRPr="001303EF">
        <w:rPr>
          <w:rFonts w:ascii="Corbel" w:hAnsi="Corbel" w:cstheme="minorHAnsi"/>
          <w:sz w:val="24"/>
          <w:szCs w:val="24"/>
        </w:rPr>
        <w:t>The reduction comes mainly from a 0.5 percentage point fall in female colleagues in Academic Schools and Departments, from 43.5% to 43%.  63.7% of colleagues in Professional Services are female, a 0.1 percentage point drop since 2021.</w:t>
      </w:r>
    </w:p>
    <w:p w14:paraId="70F5A2F9" w14:textId="619F9C52" w:rsidR="00C61867" w:rsidRPr="001303EF" w:rsidRDefault="00EB228E" w:rsidP="001E5985">
      <w:pPr>
        <w:rPr>
          <w:rFonts w:ascii="Corbel" w:hAnsi="Corbel" w:cstheme="minorHAnsi"/>
          <w:sz w:val="24"/>
          <w:szCs w:val="24"/>
        </w:rPr>
      </w:pPr>
      <w:r w:rsidRPr="001303EF">
        <w:rPr>
          <w:rFonts w:ascii="Corbel" w:hAnsi="Corbel"/>
          <w:noProof/>
        </w:rPr>
        <w:drawing>
          <wp:anchor distT="0" distB="0" distL="114300" distR="114300" simplePos="0" relativeHeight="251658242" behindDoc="0" locked="0" layoutInCell="1" allowOverlap="1" wp14:anchorId="1727F059" wp14:editId="6C1F779C">
            <wp:simplePos x="0" y="0"/>
            <wp:positionH relativeFrom="page">
              <wp:posOffset>771525</wp:posOffset>
            </wp:positionH>
            <wp:positionV relativeFrom="paragraph">
              <wp:posOffset>2038350</wp:posOffset>
            </wp:positionV>
            <wp:extent cx="6086475" cy="2762250"/>
            <wp:effectExtent l="0" t="0" r="0" b="0"/>
            <wp:wrapSquare wrapText="bothSides"/>
            <wp:docPr id="11" name="Chart 11">
              <a:extLst xmlns:a="http://schemas.openxmlformats.org/drawingml/2006/main">
                <a:ext uri="{FF2B5EF4-FFF2-40B4-BE49-F238E27FC236}">
                  <a16:creationId xmlns:a16="http://schemas.microsoft.com/office/drawing/2014/main" id="{F754A88B-DDB8-4C60-2648-730E2822F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61867" w:rsidRPr="001303EF">
        <w:rPr>
          <w:rFonts w:ascii="Corbel" w:hAnsi="Corbel" w:cstheme="minorHAnsi"/>
          <w:sz w:val="24"/>
          <w:szCs w:val="24"/>
        </w:rPr>
        <w:t>Figure 3 shows changes to representation of female colleagues at different grades in the university between 2021 and 2022.  The proportion of female professors increased by 0.6 percentage points to 32.7%, while the proportion of female colleagues at grade 10 remained the same.  There is a 3.5 percentage point reduction in the number of female staff at grade 9, which cannot be accounted for by an increase in the proportion of female Professors or colleagues at grade 10.  In Academic Schools and Departments, the proportion of female colleagues at grade 9 (senior lecturers and readers) fell by 3.3 percentage points, and there was a decrease of 5 percentage points in female staff at grade 9 in Professional Services.</w:t>
      </w:r>
    </w:p>
    <w:p w14:paraId="1825D270" w14:textId="433CE881" w:rsidR="004064A7" w:rsidRDefault="001D7B1D" w:rsidP="004064A7">
      <w:pPr>
        <w:rPr>
          <w:rFonts w:ascii="Corbel" w:hAnsi="Corbel"/>
          <w:sz w:val="24"/>
          <w:szCs w:val="24"/>
        </w:rPr>
      </w:pPr>
      <w:r w:rsidRPr="001303EF">
        <w:rPr>
          <w:rFonts w:ascii="Corbel" w:hAnsi="Corbel"/>
          <w:noProof/>
        </w:rPr>
        <mc:AlternateContent>
          <mc:Choice Requires="wps">
            <w:drawing>
              <wp:anchor distT="45720" distB="45720" distL="114300" distR="114300" simplePos="0" relativeHeight="251658243" behindDoc="0" locked="0" layoutInCell="1" allowOverlap="1" wp14:anchorId="0CA4DED0" wp14:editId="4679AF05">
                <wp:simplePos x="0" y="0"/>
                <wp:positionH relativeFrom="margin">
                  <wp:posOffset>1895475</wp:posOffset>
                </wp:positionH>
                <wp:positionV relativeFrom="paragraph">
                  <wp:posOffset>2892425</wp:posOffset>
                </wp:positionV>
                <wp:extent cx="3714750" cy="2286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8600"/>
                        </a:xfrm>
                        <a:prstGeom prst="rect">
                          <a:avLst/>
                        </a:prstGeom>
                        <a:noFill/>
                        <a:ln w="9525">
                          <a:noFill/>
                          <a:miter lim="800000"/>
                          <a:headEnd/>
                          <a:tailEnd/>
                        </a:ln>
                      </wps:spPr>
                      <wps:txbx>
                        <w:txbxContent>
                          <w:p w14:paraId="0214DF9B" w14:textId="77777777" w:rsidR="00C61867" w:rsidRDefault="00C61867" w:rsidP="00C61867">
                            <w:pPr>
                              <w:jc w:val="right"/>
                              <w:rPr>
                                <w:sz w:val="18"/>
                                <w:szCs w:val="18"/>
                              </w:rPr>
                            </w:pPr>
                            <w:r w:rsidRPr="00846AC5">
                              <w:rPr>
                                <w:sz w:val="18"/>
                                <w:szCs w:val="18"/>
                              </w:rPr>
                              <w:t xml:space="preserve">Figure </w:t>
                            </w:r>
                            <w:r>
                              <w:rPr>
                                <w:sz w:val="18"/>
                                <w:szCs w:val="18"/>
                              </w:rPr>
                              <w:t>3</w:t>
                            </w:r>
                            <w:r w:rsidRPr="00846AC5">
                              <w:rPr>
                                <w:sz w:val="18"/>
                                <w:szCs w:val="18"/>
                              </w:rPr>
                              <w:t xml:space="preserve"> – </w:t>
                            </w:r>
                            <w:r>
                              <w:rPr>
                                <w:sz w:val="18"/>
                                <w:szCs w:val="18"/>
                              </w:rPr>
                              <w:t xml:space="preserve">change in representation of female staff by grade, </w:t>
                            </w:r>
                            <w:r w:rsidRPr="00846AC5">
                              <w:rPr>
                                <w:sz w:val="18"/>
                                <w:szCs w:val="18"/>
                              </w:rPr>
                              <w:t>20</w:t>
                            </w:r>
                            <w:r>
                              <w:rPr>
                                <w:sz w:val="18"/>
                                <w:szCs w:val="18"/>
                              </w:rPr>
                              <w:t>21 -2022</w:t>
                            </w:r>
                          </w:p>
                          <w:p w14:paraId="75D2E851" w14:textId="77777777" w:rsidR="00C61867" w:rsidRPr="00846AC5" w:rsidRDefault="00C61867" w:rsidP="00C61867">
                            <w:pPr>
                              <w:jc w:val="right"/>
                              <w:rPr>
                                <w:sz w:val="18"/>
                                <w:szCs w:val="18"/>
                              </w:rPr>
                            </w:pPr>
                            <w:r>
                              <w:rPr>
                                <w:sz w:val="18"/>
                                <w:szCs w:val="18"/>
                              </w:rPr>
                              <w:t>*Numbers in brackets represent staff numbers as at 31 July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DED0" id="Text Box 12" o:spid="_x0000_s1028" type="#_x0000_t202" style="position:absolute;margin-left:149.25pt;margin-top:227.75pt;width:292.5pt;height:18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" filled="f" stroked="f">
                <v:textbox>
                  <w:txbxContent>
                    <w:p w14:paraId="0214DF9B" w14:textId="77777777" w:rsidR="00C61867" w:rsidRDefault="00C61867" w:rsidP="00C61867">
                      <w:pPr>
                        <w:jc w:val="right"/>
                        <w:rPr>
                          <w:sz w:val="18"/>
                          <w:szCs w:val="18"/>
                        </w:rPr>
                      </w:pPr>
                      <w:r w:rsidRPr="00846AC5">
                        <w:rPr>
                          <w:sz w:val="18"/>
                          <w:szCs w:val="18"/>
                        </w:rPr>
                        <w:t xml:space="preserve">Figure </w:t>
                      </w:r>
                      <w:r>
                        <w:rPr>
                          <w:sz w:val="18"/>
                          <w:szCs w:val="18"/>
                        </w:rPr>
                        <w:t>3</w:t>
                      </w:r>
                      <w:r w:rsidRPr="00846AC5">
                        <w:rPr>
                          <w:sz w:val="18"/>
                          <w:szCs w:val="18"/>
                        </w:rPr>
                        <w:t xml:space="preserve"> – </w:t>
                      </w:r>
                      <w:r>
                        <w:rPr>
                          <w:sz w:val="18"/>
                          <w:szCs w:val="18"/>
                        </w:rPr>
                        <w:t xml:space="preserve">change in representation of female staff by grade, </w:t>
                      </w:r>
                      <w:r w:rsidRPr="00846AC5">
                        <w:rPr>
                          <w:sz w:val="18"/>
                          <w:szCs w:val="18"/>
                        </w:rPr>
                        <w:t>20</w:t>
                      </w:r>
                      <w:r>
                        <w:rPr>
                          <w:sz w:val="18"/>
                          <w:szCs w:val="18"/>
                        </w:rPr>
                        <w:t>21 -2022</w:t>
                      </w:r>
                    </w:p>
                    <w:p w14:paraId="75D2E851" w14:textId="77777777" w:rsidR="00C61867" w:rsidRPr="00846AC5" w:rsidRDefault="00C61867" w:rsidP="00C61867">
                      <w:pPr>
                        <w:jc w:val="right"/>
                        <w:rPr>
                          <w:sz w:val="18"/>
                          <w:szCs w:val="18"/>
                        </w:rPr>
                      </w:pPr>
                      <w:r>
                        <w:rPr>
                          <w:sz w:val="18"/>
                          <w:szCs w:val="18"/>
                        </w:rPr>
                        <w:t>*Numbers in brackets represent staff numbers as at 31 July 2022.</w:t>
                      </w:r>
                    </w:p>
                  </w:txbxContent>
                </v:textbox>
                <w10:wrap type="square" anchorx="margin"/>
              </v:shape>
            </w:pict>
          </mc:Fallback>
        </mc:AlternateContent>
      </w:r>
    </w:p>
    <w:p w14:paraId="287D62A6" w14:textId="524F6FEA" w:rsidR="005A5529" w:rsidRPr="001303EF" w:rsidRDefault="00C61867" w:rsidP="001303EF">
      <w:pPr>
        <w:spacing w:before="240"/>
        <w:rPr>
          <w:rFonts w:ascii="Corbel" w:hAnsi="Corbel"/>
          <w:sz w:val="24"/>
          <w:szCs w:val="24"/>
        </w:rPr>
      </w:pPr>
      <w:r w:rsidRPr="001303EF">
        <w:rPr>
          <w:rFonts w:ascii="Corbel" w:hAnsi="Corbel"/>
          <w:sz w:val="24"/>
          <w:szCs w:val="24"/>
        </w:rPr>
        <w:t xml:space="preserve">The highest proportion of female colleagues remains at grade 6 (73.9%), whilst the proportion at grade 7 has increased by 2 percentage points since 2021. </w:t>
      </w:r>
    </w:p>
    <w:p w14:paraId="27B41497" w14:textId="77777777" w:rsidR="00076CF6" w:rsidRDefault="00076CF6">
      <w:pPr>
        <w:rPr>
          <w:rFonts w:ascii="Corbel" w:hAnsi="Corbel"/>
          <w:color w:val="4472C4" w:themeColor="accent1"/>
          <w:sz w:val="24"/>
          <w:szCs w:val="24"/>
        </w:rPr>
      </w:pPr>
      <w:r>
        <w:rPr>
          <w:rFonts w:ascii="Corbel" w:hAnsi="Corbel"/>
          <w:color w:val="4472C4" w:themeColor="accent1"/>
          <w:sz w:val="24"/>
          <w:szCs w:val="24"/>
        </w:rPr>
        <w:br w:type="page"/>
      </w:r>
    </w:p>
    <w:p w14:paraId="7B634E69" w14:textId="5F67AF11" w:rsidR="005A5529" w:rsidRPr="001303EF" w:rsidRDefault="005A5529" w:rsidP="005A5529">
      <w:pPr>
        <w:rPr>
          <w:rFonts w:ascii="Corbel" w:hAnsi="Corbel"/>
          <w:color w:val="4472C4" w:themeColor="accent1"/>
          <w:sz w:val="24"/>
          <w:szCs w:val="24"/>
        </w:rPr>
      </w:pPr>
      <w:r w:rsidRPr="001303EF">
        <w:rPr>
          <w:rFonts w:ascii="Corbel" w:hAnsi="Corbel"/>
          <w:color w:val="4472C4" w:themeColor="accent1"/>
          <w:sz w:val="24"/>
          <w:szCs w:val="24"/>
        </w:rPr>
        <w:lastRenderedPageBreak/>
        <w:t>Sex and Ethnicity</w:t>
      </w:r>
    </w:p>
    <w:p w14:paraId="11B54BCE" w14:textId="0A783D58" w:rsidR="005A5529" w:rsidRPr="001303EF" w:rsidRDefault="005A5529" w:rsidP="005A5529">
      <w:pPr>
        <w:rPr>
          <w:rFonts w:ascii="Corbel" w:hAnsi="Corbel"/>
          <w:sz w:val="24"/>
          <w:szCs w:val="24"/>
        </w:rPr>
      </w:pPr>
      <w:r w:rsidRPr="001303EF">
        <w:rPr>
          <w:rFonts w:ascii="Corbel" w:hAnsi="Corbel"/>
          <w:sz w:val="24"/>
          <w:szCs w:val="24"/>
        </w:rPr>
        <w:t xml:space="preserve">As of 31 July 2022, a higher proportion of female staff (20.3%) were from a Black and global majority background than male staff (18.4%).  This distribution was reflected differently in Academic Schools and Departments </w:t>
      </w:r>
      <w:r w:rsidR="001F508E">
        <w:rPr>
          <w:rFonts w:ascii="Corbel" w:hAnsi="Corbel"/>
          <w:sz w:val="24"/>
          <w:szCs w:val="24"/>
        </w:rPr>
        <w:t>compar</w:t>
      </w:r>
      <w:r w:rsidRPr="001303EF">
        <w:rPr>
          <w:rFonts w:ascii="Corbel" w:hAnsi="Corbel"/>
          <w:sz w:val="24"/>
          <w:szCs w:val="24"/>
        </w:rPr>
        <w:t>ed to Professional Services.  In Academic Schools and Departments, 23.4% of the female staff were from a Black and global majority background, compared to 16.1% of male staff.  In Professional Services, 22.7% of the male staff were from a Black and global majority background, compared to 17.8% of the female staff.</w:t>
      </w:r>
    </w:p>
    <w:p w14:paraId="164C70F0" w14:textId="0370994A" w:rsidR="005A5529" w:rsidRPr="001303EF" w:rsidRDefault="005A5529" w:rsidP="005A5529">
      <w:pPr>
        <w:rPr>
          <w:rFonts w:ascii="Corbel" w:hAnsi="Corbel"/>
          <w:color w:val="4472C4" w:themeColor="accent1"/>
          <w:sz w:val="24"/>
          <w:szCs w:val="24"/>
        </w:rPr>
      </w:pPr>
      <w:r w:rsidRPr="001303EF">
        <w:rPr>
          <w:rFonts w:ascii="Corbel" w:hAnsi="Corbel"/>
          <w:color w:val="4472C4" w:themeColor="accent1"/>
          <w:sz w:val="24"/>
          <w:szCs w:val="24"/>
        </w:rPr>
        <w:t>Gender Identity</w:t>
      </w:r>
    </w:p>
    <w:p w14:paraId="4298EBB7" w14:textId="51C2D54C" w:rsidR="005A5529" w:rsidRPr="001303EF" w:rsidRDefault="00852C31" w:rsidP="00C014C6">
      <w:pPr>
        <w:rPr>
          <w:rFonts w:ascii="Corbel" w:hAnsi="Corbel"/>
          <w:sz w:val="24"/>
          <w:szCs w:val="24"/>
        </w:rPr>
      </w:pPr>
      <w:r>
        <w:rPr>
          <w:rFonts w:ascii="Corbel" w:hAnsi="Corbel"/>
          <w:sz w:val="24"/>
          <w:szCs w:val="24"/>
        </w:rPr>
        <w:t>O</w:t>
      </w:r>
      <w:r w:rsidR="005A5529" w:rsidRPr="001303EF">
        <w:rPr>
          <w:rFonts w:ascii="Corbel" w:hAnsi="Corbel"/>
          <w:sz w:val="24"/>
          <w:szCs w:val="24"/>
        </w:rPr>
        <w:t xml:space="preserve">ur data relating to gender identity is </w:t>
      </w:r>
      <w:r>
        <w:rPr>
          <w:rFonts w:ascii="Corbel" w:hAnsi="Corbel"/>
          <w:sz w:val="24"/>
          <w:szCs w:val="24"/>
        </w:rPr>
        <w:t xml:space="preserve">currently </w:t>
      </w:r>
      <w:r w:rsidR="005A5529" w:rsidRPr="001303EF">
        <w:rPr>
          <w:rFonts w:ascii="Corbel" w:hAnsi="Corbel"/>
          <w:sz w:val="24"/>
          <w:szCs w:val="24"/>
        </w:rPr>
        <w:t>limited.  During the recruitment process new starters are asked if they identify with their birth gender, and 63.6% of colleagues have answered this question (yes, no or prefer not to say).  Fewer than 10 colleagues have answered “no” to the question and so an overall percentage cannot be reported.  This question is not currently available to answer or update on MyView.  Fields relating to gender identity and pronouns are available within ResourceLink, but these questions are not currently asked as part of the recruitment process.</w:t>
      </w:r>
    </w:p>
    <w:p w14:paraId="7F9790EF" w14:textId="3CE6225F" w:rsidR="005A5529" w:rsidRPr="001C45BC" w:rsidRDefault="001C45BC" w:rsidP="00C014C6">
      <w:pPr>
        <w:rPr>
          <w:rFonts w:ascii="Corbel" w:hAnsi="Corbel"/>
          <w:color w:val="4472C4" w:themeColor="accent1"/>
          <w:sz w:val="24"/>
          <w:szCs w:val="24"/>
        </w:rPr>
      </w:pPr>
      <w:r w:rsidRPr="00DD519A">
        <w:rPr>
          <w:noProof/>
        </w:rPr>
        <w:drawing>
          <wp:anchor distT="0" distB="0" distL="114300" distR="114300" simplePos="0" relativeHeight="251658244" behindDoc="0" locked="0" layoutInCell="1" allowOverlap="1" wp14:anchorId="3F2AAD3B" wp14:editId="7724CC26">
            <wp:simplePos x="0" y="0"/>
            <wp:positionH relativeFrom="column">
              <wp:posOffset>2417445</wp:posOffset>
            </wp:positionH>
            <wp:positionV relativeFrom="paragraph">
              <wp:posOffset>222250</wp:posOffset>
            </wp:positionV>
            <wp:extent cx="3418205" cy="2306320"/>
            <wp:effectExtent l="0" t="0" r="0" b="0"/>
            <wp:wrapSquare wrapText="bothSides"/>
            <wp:docPr id="5" name="Chart 5">
              <a:extLst xmlns:a="http://schemas.openxmlformats.org/drawingml/2006/main">
                <a:ext uri="{FF2B5EF4-FFF2-40B4-BE49-F238E27FC236}">
                  <a16:creationId xmlns:a16="http://schemas.microsoft.com/office/drawing/2014/main" id="{8FF96B7B-866C-040A-E660-161842893C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A5529" w:rsidRPr="001C45BC">
        <w:rPr>
          <w:rFonts w:ascii="Corbel" w:hAnsi="Corbel"/>
          <w:color w:val="4472C4" w:themeColor="accent1"/>
          <w:sz w:val="24"/>
          <w:szCs w:val="24"/>
        </w:rPr>
        <w:t>Ethnicity</w:t>
      </w:r>
    </w:p>
    <w:p w14:paraId="3AD05904" w14:textId="6200AAB3" w:rsidR="00363806" w:rsidRPr="001C45BC" w:rsidRDefault="005A5529" w:rsidP="001C45BC">
      <w:pPr>
        <w:rPr>
          <w:rFonts w:ascii="Corbel" w:hAnsi="Corbel"/>
          <w:sz w:val="24"/>
          <w:szCs w:val="24"/>
        </w:rPr>
      </w:pPr>
      <w:r w:rsidRPr="001C45BC">
        <w:rPr>
          <w:rFonts w:ascii="Corbel" w:hAnsi="Corbel"/>
          <w:sz w:val="24"/>
          <w:szCs w:val="24"/>
        </w:rPr>
        <w:t xml:space="preserve">Representation of Black and global majority colleagues increased by 2 percentage points to 19.4% since 2021, and by 3.8 percentage points since 2018.  This is despite a small rise over time in the proportion of colleagues who prefer not to record their ethnicity.  The sector average is reported as 15.1%  </w:t>
      </w:r>
    </w:p>
    <w:p w14:paraId="121C2DAB" w14:textId="4C32228E" w:rsidR="005A5529" w:rsidRPr="001C45BC" w:rsidRDefault="005A5529" w:rsidP="003F766B">
      <w:pPr>
        <w:rPr>
          <w:rFonts w:ascii="Corbel" w:hAnsi="Corbel"/>
          <w:sz w:val="24"/>
          <w:szCs w:val="24"/>
        </w:rPr>
      </w:pPr>
      <w:r w:rsidRPr="001C45BC">
        <w:rPr>
          <w:rFonts w:ascii="Corbel" w:hAnsi="Corbel"/>
          <w:noProof/>
          <w:sz w:val="24"/>
          <w:szCs w:val="24"/>
        </w:rPr>
        <mc:AlternateContent>
          <mc:Choice Requires="wps">
            <w:drawing>
              <wp:anchor distT="45720" distB="45720" distL="114300" distR="114300" simplePos="0" relativeHeight="251658245" behindDoc="0" locked="0" layoutInCell="1" allowOverlap="1" wp14:anchorId="57039667" wp14:editId="4B3E49ED">
                <wp:simplePos x="0" y="0"/>
                <wp:positionH relativeFrom="margin">
                  <wp:posOffset>2608580</wp:posOffset>
                </wp:positionH>
                <wp:positionV relativeFrom="paragraph">
                  <wp:posOffset>443865</wp:posOffset>
                </wp:positionV>
                <wp:extent cx="33959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404620"/>
                        </a:xfrm>
                        <a:prstGeom prst="rect">
                          <a:avLst/>
                        </a:prstGeom>
                        <a:noFill/>
                        <a:ln w="9525">
                          <a:noFill/>
                          <a:miter lim="800000"/>
                          <a:headEnd/>
                          <a:tailEnd/>
                        </a:ln>
                      </wps:spPr>
                      <wps:txbx>
                        <w:txbxContent>
                          <w:p w14:paraId="2BF6585E" w14:textId="77777777" w:rsidR="005A5529" w:rsidRPr="00D41BD3" w:rsidRDefault="005A5529" w:rsidP="005A5529">
                            <w:pPr>
                              <w:jc w:val="right"/>
                              <w:rPr>
                                <w:rFonts w:ascii="Corbel" w:hAnsi="Corbel"/>
                                <w:sz w:val="20"/>
                                <w:szCs w:val="20"/>
                              </w:rPr>
                            </w:pPr>
                            <w:r w:rsidRPr="00D41BD3">
                              <w:rPr>
                                <w:rFonts w:ascii="Corbel" w:hAnsi="Corbel"/>
                                <w:sz w:val="20"/>
                                <w:szCs w:val="20"/>
                              </w:rPr>
                              <w:t>Figure 4 – staff representation by ethnicity, 2018 - 2022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39667" id="_x0000_s1029" type="#_x0000_t202" style="position:absolute;margin-left:205.4pt;margin-top:34.95pt;width:267.4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" filled="f" stroked="f">
                <v:textbox style="mso-fit-shape-to-text:t">
                  <w:txbxContent>
                    <w:p w14:paraId="2BF6585E" w14:textId="77777777" w:rsidR="005A5529" w:rsidRPr="00D41BD3" w:rsidRDefault="005A5529" w:rsidP="005A5529">
                      <w:pPr>
                        <w:jc w:val="right"/>
                        <w:rPr>
                          <w:rFonts w:ascii="Corbel" w:hAnsi="Corbel"/>
                          <w:sz w:val="20"/>
                          <w:szCs w:val="20"/>
                        </w:rPr>
                      </w:pPr>
                      <w:r w:rsidRPr="00D41BD3">
                        <w:rPr>
                          <w:rFonts w:ascii="Corbel" w:hAnsi="Corbel"/>
                          <w:sz w:val="20"/>
                          <w:szCs w:val="20"/>
                        </w:rPr>
                        <w:t>Figure 4 – staff representation by ethnicity, 2018 - 2022</w:t>
                      </w:r>
                    </w:p>
                  </w:txbxContent>
                </v:textbox>
                <w10:wrap type="square" anchorx="margin"/>
              </v:shape>
            </w:pict>
          </mc:Fallback>
        </mc:AlternateContent>
      </w:r>
      <w:r w:rsidRPr="001C45BC">
        <w:rPr>
          <w:rFonts w:ascii="Corbel" w:hAnsi="Corbel"/>
          <w:sz w:val="24"/>
          <w:szCs w:val="24"/>
        </w:rPr>
        <w:t>The highest represented ethnicity after white is Asian (9%), the proportion of whom has increased by 1.1 percentage points since 2021.  Representation of other groups is:  mixed ethnicity (3.3%), Chinese (2.7%),</w:t>
      </w:r>
      <w:r w:rsidR="00363806" w:rsidRPr="001C45BC">
        <w:rPr>
          <w:rFonts w:ascii="Corbel" w:hAnsi="Corbel"/>
          <w:sz w:val="24"/>
          <w:szCs w:val="24"/>
        </w:rPr>
        <w:t xml:space="preserve"> </w:t>
      </w:r>
      <w:r w:rsidRPr="001C45BC">
        <w:rPr>
          <w:rFonts w:ascii="Corbel" w:hAnsi="Corbel"/>
          <w:sz w:val="24"/>
          <w:szCs w:val="24"/>
        </w:rPr>
        <w:t>Black (2.3%) and other ethnicities (2.1%).</w:t>
      </w:r>
    </w:p>
    <w:p w14:paraId="5E10A22E" w14:textId="2CDAB4DD" w:rsidR="005A5529" w:rsidRPr="001C45BC" w:rsidRDefault="005A5529" w:rsidP="003F766B">
      <w:pPr>
        <w:spacing w:before="160"/>
        <w:rPr>
          <w:rFonts w:ascii="Corbel" w:hAnsi="Corbel"/>
          <w:sz w:val="24"/>
          <w:szCs w:val="24"/>
        </w:rPr>
      </w:pPr>
      <w:r w:rsidRPr="001C45BC">
        <w:rPr>
          <w:rFonts w:ascii="Corbel" w:hAnsi="Corbel"/>
          <w:sz w:val="24"/>
          <w:szCs w:val="24"/>
        </w:rPr>
        <w:t xml:space="preserve">These increases are reflected </w:t>
      </w:r>
      <w:r w:rsidR="00362406">
        <w:rPr>
          <w:rFonts w:ascii="Corbel" w:hAnsi="Corbel"/>
          <w:sz w:val="24"/>
          <w:szCs w:val="24"/>
        </w:rPr>
        <w:t xml:space="preserve">both </w:t>
      </w:r>
      <w:r w:rsidRPr="001C45BC">
        <w:rPr>
          <w:rFonts w:ascii="Corbel" w:hAnsi="Corbel"/>
          <w:sz w:val="24"/>
          <w:szCs w:val="24"/>
        </w:rPr>
        <w:t xml:space="preserve">in Academic Schools and Departments and in Professional Services.  There has been a 2.1 percentage point increase in Black and global majority academics, including a 1.1 percentage point increase in Asian academics (7.6%), and 0.9 percentage point increase in Black academics (2.5%).  The increase in Black and global majority colleagues in Professional Services is 1.9 percentage points to 19.6%.  This includes a 1.1 percentage point increase in the proportion of Asian </w:t>
      </w:r>
      <w:r w:rsidR="00682E5A">
        <w:rPr>
          <w:rFonts w:ascii="Corbel" w:hAnsi="Corbel"/>
          <w:sz w:val="24"/>
          <w:szCs w:val="24"/>
        </w:rPr>
        <w:t>colleagues</w:t>
      </w:r>
      <w:r w:rsidRPr="001C45BC">
        <w:rPr>
          <w:rFonts w:ascii="Corbel" w:hAnsi="Corbel"/>
          <w:sz w:val="24"/>
          <w:szCs w:val="24"/>
        </w:rPr>
        <w:t>, with the number of Chinese colleagues being more than 10 for the first time.</w:t>
      </w:r>
    </w:p>
    <w:p w14:paraId="5C14243F" w14:textId="210D956E" w:rsidR="00380CA2" w:rsidRDefault="00380CA2" w:rsidP="36AAC1F4">
      <w:pPr>
        <w:rPr>
          <w:sz w:val="24"/>
          <w:szCs w:val="24"/>
        </w:rPr>
      </w:pPr>
    </w:p>
    <w:p w14:paraId="20F6CAAF" w14:textId="1905A6A9" w:rsidR="00363806" w:rsidRDefault="00F31BD8" w:rsidP="36AAC1F4">
      <w:pPr>
        <w:rPr>
          <w:sz w:val="24"/>
          <w:szCs w:val="24"/>
        </w:rPr>
      </w:pPr>
      <w:r w:rsidRPr="00DD519A">
        <w:rPr>
          <w:noProof/>
        </w:rPr>
        <w:lastRenderedPageBreak/>
        <mc:AlternateContent>
          <mc:Choice Requires="wps">
            <w:drawing>
              <wp:anchor distT="45720" distB="45720" distL="114300" distR="114300" simplePos="0" relativeHeight="251658246" behindDoc="0" locked="0" layoutInCell="1" allowOverlap="1" wp14:anchorId="46CF2AC5" wp14:editId="79143674">
                <wp:simplePos x="0" y="0"/>
                <wp:positionH relativeFrom="margin">
                  <wp:posOffset>895350</wp:posOffset>
                </wp:positionH>
                <wp:positionV relativeFrom="paragraph">
                  <wp:posOffset>2379345</wp:posOffset>
                </wp:positionV>
                <wp:extent cx="474853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1404620"/>
                        </a:xfrm>
                        <a:prstGeom prst="rect">
                          <a:avLst/>
                        </a:prstGeom>
                        <a:noFill/>
                        <a:ln w="9525">
                          <a:noFill/>
                          <a:miter lim="800000"/>
                          <a:headEnd/>
                          <a:tailEnd/>
                        </a:ln>
                      </wps:spPr>
                      <wps:txbx>
                        <w:txbxContent>
                          <w:p w14:paraId="618A6A08" w14:textId="77777777" w:rsidR="00F31BD8" w:rsidRDefault="00F31BD8" w:rsidP="00F31BD8">
                            <w:pPr>
                              <w:spacing w:after="0"/>
                              <w:jc w:val="right"/>
                              <w:rPr>
                                <w:sz w:val="18"/>
                                <w:szCs w:val="18"/>
                              </w:rPr>
                            </w:pPr>
                            <w:r w:rsidRPr="00846AC5">
                              <w:rPr>
                                <w:sz w:val="18"/>
                                <w:szCs w:val="18"/>
                              </w:rPr>
                              <w:t xml:space="preserve">Figure </w:t>
                            </w:r>
                            <w:r>
                              <w:rPr>
                                <w:sz w:val="18"/>
                                <w:szCs w:val="18"/>
                              </w:rPr>
                              <w:t>5</w:t>
                            </w:r>
                            <w:r w:rsidRPr="00846AC5">
                              <w:rPr>
                                <w:sz w:val="18"/>
                                <w:szCs w:val="18"/>
                              </w:rPr>
                              <w:t xml:space="preserve"> – </w:t>
                            </w:r>
                            <w:r>
                              <w:rPr>
                                <w:sz w:val="18"/>
                                <w:szCs w:val="18"/>
                              </w:rPr>
                              <w:t xml:space="preserve">change in representation of Black and global majority colleagues by grade, </w:t>
                            </w:r>
                            <w:r w:rsidRPr="00846AC5">
                              <w:rPr>
                                <w:sz w:val="18"/>
                                <w:szCs w:val="18"/>
                              </w:rPr>
                              <w:t>20</w:t>
                            </w:r>
                            <w:r>
                              <w:rPr>
                                <w:sz w:val="18"/>
                                <w:szCs w:val="18"/>
                              </w:rPr>
                              <w:t>21 -2022</w:t>
                            </w:r>
                          </w:p>
                          <w:p w14:paraId="1612A574" w14:textId="77777777" w:rsidR="00F31BD8" w:rsidRPr="00846AC5" w:rsidRDefault="00F31BD8" w:rsidP="00F31BD8">
                            <w:pPr>
                              <w:spacing w:after="0"/>
                              <w:jc w:val="right"/>
                              <w:rPr>
                                <w:sz w:val="18"/>
                                <w:szCs w:val="18"/>
                              </w:rPr>
                            </w:pPr>
                            <w:r>
                              <w:rPr>
                                <w:sz w:val="18"/>
                                <w:szCs w:val="18"/>
                              </w:rPr>
                              <w:t>*Numbers in brackets indicate staff numbers as at 31 July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F2AC5" id="_x0000_s1030" type="#_x0000_t202" style="position:absolute;margin-left:70.5pt;margin-top:187.35pt;width:373.9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" filled="f" stroked="f">
                <v:textbox style="mso-fit-shape-to-text:t">
                  <w:txbxContent>
                    <w:p w14:paraId="618A6A08" w14:textId="77777777" w:rsidR="00F31BD8" w:rsidRDefault="00F31BD8" w:rsidP="00F31BD8">
                      <w:pPr>
                        <w:spacing w:after="0"/>
                        <w:jc w:val="right"/>
                        <w:rPr>
                          <w:sz w:val="18"/>
                          <w:szCs w:val="18"/>
                        </w:rPr>
                      </w:pPr>
                      <w:r w:rsidRPr="00846AC5">
                        <w:rPr>
                          <w:sz w:val="18"/>
                          <w:szCs w:val="18"/>
                        </w:rPr>
                        <w:t xml:space="preserve">Figure </w:t>
                      </w:r>
                      <w:r>
                        <w:rPr>
                          <w:sz w:val="18"/>
                          <w:szCs w:val="18"/>
                        </w:rPr>
                        <w:t>5</w:t>
                      </w:r>
                      <w:r w:rsidRPr="00846AC5">
                        <w:rPr>
                          <w:sz w:val="18"/>
                          <w:szCs w:val="18"/>
                        </w:rPr>
                        <w:t xml:space="preserve"> – </w:t>
                      </w:r>
                      <w:r>
                        <w:rPr>
                          <w:sz w:val="18"/>
                          <w:szCs w:val="18"/>
                        </w:rPr>
                        <w:t xml:space="preserve">change in representation of Black and global majority colleagues by grade, </w:t>
                      </w:r>
                      <w:r w:rsidRPr="00846AC5">
                        <w:rPr>
                          <w:sz w:val="18"/>
                          <w:szCs w:val="18"/>
                        </w:rPr>
                        <w:t>20</w:t>
                      </w:r>
                      <w:r>
                        <w:rPr>
                          <w:sz w:val="18"/>
                          <w:szCs w:val="18"/>
                        </w:rPr>
                        <w:t>21 -2022</w:t>
                      </w:r>
                    </w:p>
                    <w:p w14:paraId="1612A574" w14:textId="77777777" w:rsidR="00F31BD8" w:rsidRPr="00846AC5" w:rsidRDefault="00F31BD8" w:rsidP="00F31BD8">
                      <w:pPr>
                        <w:spacing w:after="0"/>
                        <w:jc w:val="right"/>
                        <w:rPr>
                          <w:sz w:val="18"/>
                          <w:szCs w:val="18"/>
                        </w:rPr>
                      </w:pPr>
                      <w:r>
                        <w:rPr>
                          <w:sz w:val="18"/>
                          <w:szCs w:val="18"/>
                        </w:rPr>
                        <w:t>*Numbers in brackets indicate staff numbers as at 31 July 2022</w:t>
                      </w:r>
                    </w:p>
                  </w:txbxContent>
                </v:textbox>
                <w10:wrap type="square" anchorx="margin"/>
              </v:shape>
            </w:pict>
          </mc:Fallback>
        </mc:AlternateContent>
      </w:r>
      <w:r w:rsidR="00894899" w:rsidRPr="00DD519A">
        <w:rPr>
          <w:noProof/>
        </w:rPr>
        <w:drawing>
          <wp:inline distT="0" distB="0" distL="0" distR="0" wp14:anchorId="6FFF74D5" wp14:editId="604AFCAF">
            <wp:extent cx="5731510" cy="2323666"/>
            <wp:effectExtent l="0" t="0" r="2540" b="635"/>
            <wp:docPr id="6" name="Chart 6">
              <a:extLst xmlns:a="http://schemas.openxmlformats.org/drawingml/2006/main">
                <a:ext uri="{FF2B5EF4-FFF2-40B4-BE49-F238E27FC236}">
                  <a16:creationId xmlns:a16="http://schemas.microsoft.com/office/drawing/2014/main" id="{2EB4BAE1-577A-ADB2-1933-4D6A8F5127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83F8C2" w14:textId="1732F5A0" w:rsidR="00F31BD8" w:rsidRDefault="00F31BD8" w:rsidP="36AAC1F4">
      <w:pPr>
        <w:rPr>
          <w:sz w:val="24"/>
          <w:szCs w:val="24"/>
        </w:rPr>
      </w:pPr>
    </w:p>
    <w:p w14:paraId="66E0B6CE" w14:textId="77777777" w:rsidR="00F31BD8" w:rsidRDefault="00F31BD8" w:rsidP="36AAC1F4">
      <w:pPr>
        <w:rPr>
          <w:sz w:val="24"/>
          <w:szCs w:val="24"/>
        </w:rPr>
      </w:pPr>
    </w:p>
    <w:p w14:paraId="5A0DECEC" w14:textId="26AEF7BE" w:rsidR="00541A74" w:rsidRPr="001C45BC" w:rsidRDefault="00541A74" w:rsidP="001C45BC">
      <w:pPr>
        <w:rPr>
          <w:rFonts w:ascii="Corbel" w:hAnsi="Corbel"/>
          <w:sz w:val="24"/>
          <w:szCs w:val="24"/>
        </w:rPr>
      </w:pPr>
      <w:r w:rsidRPr="001C45BC">
        <w:rPr>
          <w:rFonts w:ascii="Corbel" w:hAnsi="Corbel"/>
          <w:sz w:val="24"/>
          <w:szCs w:val="24"/>
        </w:rPr>
        <w:t>Figure 5 shows that the increase in the proportion of Black and global majority staff can been seen across all grades except grade</w:t>
      </w:r>
      <w:r w:rsidR="005B1BAE">
        <w:rPr>
          <w:rFonts w:ascii="Corbel" w:hAnsi="Corbel"/>
          <w:sz w:val="24"/>
          <w:szCs w:val="24"/>
        </w:rPr>
        <w:t>s</w:t>
      </w:r>
      <w:r w:rsidRPr="001C45BC">
        <w:rPr>
          <w:rFonts w:ascii="Corbel" w:hAnsi="Corbel"/>
          <w:sz w:val="24"/>
          <w:szCs w:val="24"/>
        </w:rPr>
        <w:t xml:space="preserve"> 6</w:t>
      </w:r>
      <w:r w:rsidR="005B1BAE">
        <w:rPr>
          <w:rFonts w:ascii="Corbel" w:hAnsi="Corbel"/>
          <w:sz w:val="24"/>
          <w:szCs w:val="24"/>
        </w:rPr>
        <w:t xml:space="preserve"> and 4</w:t>
      </w:r>
      <w:r w:rsidRPr="001C45BC">
        <w:rPr>
          <w:rFonts w:ascii="Corbel" w:hAnsi="Corbel"/>
          <w:sz w:val="24"/>
          <w:szCs w:val="24"/>
        </w:rPr>
        <w:t>.  The proportion of Black and global majority Professors increased by 1.1 percentage points, and there was a 2.8 percentage point increase at grade 9, created by a similar percentage point increase at grade 9 in Academic Schools and Departments.</w:t>
      </w:r>
    </w:p>
    <w:p w14:paraId="704D63B0" w14:textId="5D8D4C62" w:rsidR="00F31BD8" w:rsidRPr="001C45BC" w:rsidRDefault="00541A74" w:rsidP="001D7B1D">
      <w:pPr>
        <w:jc w:val="both"/>
        <w:rPr>
          <w:rFonts w:ascii="Corbel" w:hAnsi="Corbel"/>
          <w:sz w:val="24"/>
          <w:szCs w:val="24"/>
        </w:rPr>
      </w:pPr>
      <w:r w:rsidRPr="001C45BC">
        <w:rPr>
          <w:rFonts w:ascii="Corbel" w:hAnsi="Corbel"/>
          <w:sz w:val="24"/>
          <w:szCs w:val="24"/>
        </w:rPr>
        <w:t>There were insufficient numbers to report on representation of Black and global majority colleagues at grade 9 and grade 10 in Professional Services, even if the grades are aggregated.  There were 52 posts, requiring Black and Global majority staff representation at a minimum of 19.2% to allow for reporting.  This is close to current overall representation at university level and should be achievable.</w:t>
      </w:r>
    </w:p>
    <w:p w14:paraId="0EA63833" w14:textId="052260C2" w:rsidR="00822B4B" w:rsidRPr="00887A8F" w:rsidRDefault="008036A8" w:rsidP="001D7B1D">
      <w:pPr>
        <w:rPr>
          <w:rFonts w:ascii="Corbel" w:hAnsi="Corbel"/>
          <w:color w:val="4472C4" w:themeColor="accent1"/>
          <w:sz w:val="24"/>
          <w:szCs w:val="24"/>
        </w:rPr>
      </w:pPr>
      <w:r w:rsidRPr="00551270">
        <w:rPr>
          <w:rFonts w:ascii="Corbel" w:hAnsi="Corbel"/>
          <w:noProof/>
          <w:sz w:val="24"/>
          <w:szCs w:val="24"/>
        </w:rPr>
        <w:drawing>
          <wp:anchor distT="0" distB="0" distL="114300" distR="114300" simplePos="0" relativeHeight="251658247" behindDoc="0" locked="0" layoutInCell="1" allowOverlap="1" wp14:anchorId="5CE85D7F" wp14:editId="06C16FBE">
            <wp:simplePos x="0" y="0"/>
            <wp:positionH relativeFrom="margin">
              <wp:align>right</wp:align>
            </wp:positionH>
            <wp:positionV relativeFrom="paragraph">
              <wp:posOffset>12065</wp:posOffset>
            </wp:positionV>
            <wp:extent cx="3574415" cy="2486025"/>
            <wp:effectExtent l="0" t="0" r="6985" b="0"/>
            <wp:wrapSquare wrapText="bothSides"/>
            <wp:docPr id="4" name="Chart 4">
              <a:extLst xmlns:a="http://schemas.openxmlformats.org/drawingml/2006/main">
                <a:ext uri="{FF2B5EF4-FFF2-40B4-BE49-F238E27FC236}">
                  <a16:creationId xmlns:a16="http://schemas.microsoft.com/office/drawing/2014/main" id="{D155BAE9-02A2-826E-8738-1E09CBA0D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822B4B" w:rsidRPr="00887A8F">
        <w:rPr>
          <w:rFonts w:ascii="Corbel" w:hAnsi="Corbel"/>
          <w:color w:val="4472C4" w:themeColor="accent1"/>
          <w:sz w:val="24"/>
          <w:szCs w:val="24"/>
        </w:rPr>
        <w:t>Nationality</w:t>
      </w:r>
    </w:p>
    <w:p w14:paraId="19C6C55C" w14:textId="53E07384" w:rsidR="00822B4B" w:rsidRPr="00551270" w:rsidRDefault="00822B4B" w:rsidP="00551270">
      <w:pPr>
        <w:rPr>
          <w:rFonts w:ascii="Corbel" w:hAnsi="Corbel"/>
          <w:sz w:val="24"/>
          <w:szCs w:val="24"/>
        </w:rPr>
      </w:pPr>
      <w:r w:rsidRPr="00551270">
        <w:rPr>
          <w:rFonts w:ascii="Corbel" w:hAnsi="Corbel"/>
          <w:sz w:val="24"/>
          <w:szCs w:val="24"/>
        </w:rPr>
        <w:t xml:space="preserve">This year has seen the first small increase in the number of </w:t>
      </w:r>
      <w:r w:rsidR="00551270">
        <w:rPr>
          <w:rFonts w:ascii="Corbel" w:hAnsi="Corbel"/>
          <w:sz w:val="24"/>
          <w:szCs w:val="24"/>
        </w:rPr>
        <w:t>n</w:t>
      </w:r>
      <w:r w:rsidRPr="00551270">
        <w:rPr>
          <w:rFonts w:ascii="Corbel" w:hAnsi="Corbel"/>
          <w:sz w:val="24"/>
          <w:szCs w:val="24"/>
        </w:rPr>
        <w:t>on-UK nationality staff since 2018, to 25.3%, following a steady decline.  This includes a 0.3 percentage point increase in academic schools, and a 0.6 percentage point increase in Professional Services.</w:t>
      </w:r>
    </w:p>
    <w:p w14:paraId="798E232D" w14:textId="770E1B39" w:rsidR="00822B4B" w:rsidRPr="00DD519A" w:rsidRDefault="00822B4B" w:rsidP="00822B4B"/>
    <w:p w14:paraId="77F9EBD6" w14:textId="733763A6" w:rsidR="00822B4B" w:rsidRDefault="001D7B1D" w:rsidP="36AAC1F4">
      <w:pPr>
        <w:rPr>
          <w:sz w:val="24"/>
          <w:szCs w:val="24"/>
        </w:rPr>
      </w:pPr>
      <w:r w:rsidRPr="00DD519A">
        <w:rPr>
          <w:noProof/>
        </w:rPr>
        <mc:AlternateContent>
          <mc:Choice Requires="wps">
            <w:drawing>
              <wp:anchor distT="45720" distB="45720" distL="114300" distR="114300" simplePos="0" relativeHeight="251658258" behindDoc="0" locked="0" layoutInCell="1" allowOverlap="1" wp14:anchorId="45923C5B" wp14:editId="39CA6440">
                <wp:simplePos x="0" y="0"/>
                <wp:positionH relativeFrom="margin">
                  <wp:posOffset>2266950</wp:posOffset>
                </wp:positionH>
                <wp:positionV relativeFrom="paragraph">
                  <wp:posOffset>58420</wp:posOffset>
                </wp:positionV>
                <wp:extent cx="3395980" cy="3429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42900"/>
                        </a:xfrm>
                        <a:prstGeom prst="rect">
                          <a:avLst/>
                        </a:prstGeom>
                        <a:noFill/>
                        <a:ln w="9525">
                          <a:noFill/>
                          <a:miter lim="800000"/>
                          <a:headEnd/>
                          <a:tailEnd/>
                        </a:ln>
                      </wps:spPr>
                      <wps:txbx>
                        <w:txbxContent>
                          <w:p w14:paraId="504B5EFC" w14:textId="77777777" w:rsidR="00D123CD" w:rsidRPr="00D123CD" w:rsidRDefault="00D123CD" w:rsidP="00D123CD">
                            <w:pPr>
                              <w:spacing w:after="0"/>
                              <w:jc w:val="right"/>
                              <w:rPr>
                                <w:sz w:val="20"/>
                                <w:szCs w:val="20"/>
                              </w:rPr>
                            </w:pPr>
                            <w:r w:rsidRPr="00D123CD">
                              <w:rPr>
                                <w:sz w:val="20"/>
                                <w:szCs w:val="20"/>
                              </w:rPr>
                              <w:t>Figure 6 – staff representation by nationality, 2018 - 2022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3C5B" id="_x0000_s1031" type="#_x0000_t202" style="position:absolute;margin-left:178.5pt;margin-top:4.6pt;width:267.4pt;height:27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" filled="f" stroked="f">
                <v:textbox>
                  <w:txbxContent>
                    <w:p w14:paraId="504B5EFC" w14:textId="77777777" w:rsidR="00D123CD" w:rsidRPr="00D123CD" w:rsidRDefault="00D123CD" w:rsidP="00D123CD">
                      <w:pPr>
                        <w:spacing w:after="0"/>
                        <w:jc w:val="right"/>
                        <w:rPr>
                          <w:sz w:val="20"/>
                          <w:szCs w:val="20"/>
                        </w:rPr>
                      </w:pPr>
                      <w:r w:rsidRPr="00D123CD">
                        <w:rPr>
                          <w:sz w:val="20"/>
                          <w:szCs w:val="20"/>
                        </w:rPr>
                        <w:t>Figure 6 – staff representation by nationality, 2018 - 2022</w:t>
                      </w:r>
                    </w:p>
                  </w:txbxContent>
                </v:textbox>
                <w10:wrap type="square" anchorx="margin"/>
              </v:shape>
            </w:pict>
          </mc:Fallback>
        </mc:AlternateContent>
      </w:r>
    </w:p>
    <w:p w14:paraId="3478B4FA" w14:textId="4FDA8F33" w:rsidR="00822B4B" w:rsidRDefault="00822B4B">
      <w:pPr>
        <w:rPr>
          <w:sz w:val="24"/>
          <w:szCs w:val="24"/>
        </w:rPr>
      </w:pPr>
      <w:r>
        <w:rPr>
          <w:sz w:val="24"/>
          <w:szCs w:val="24"/>
        </w:rPr>
        <w:br w:type="page"/>
      </w:r>
    </w:p>
    <w:p w14:paraId="3685D855" w14:textId="2AD3D621" w:rsidR="00663677" w:rsidRPr="00A26C47" w:rsidRDefault="00BA32F8" w:rsidP="00A26C47">
      <w:pPr>
        <w:pStyle w:val="ListParagraph"/>
        <w:numPr>
          <w:ilvl w:val="0"/>
          <w:numId w:val="0"/>
        </w:numPr>
        <w:spacing w:after="240"/>
        <w:rPr>
          <w:color w:val="4472C4" w:themeColor="accent1"/>
          <w:sz w:val="24"/>
          <w:szCs w:val="24"/>
        </w:rPr>
      </w:pPr>
      <w:r w:rsidRPr="00D123CD">
        <w:rPr>
          <w:noProof/>
          <w:sz w:val="24"/>
          <w:szCs w:val="24"/>
        </w:rPr>
        <w:lastRenderedPageBreak/>
        <w:drawing>
          <wp:anchor distT="0" distB="0" distL="114300" distR="114300" simplePos="0" relativeHeight="251658249" behindDoc="0" locked="0" layoutInCell="1" allowOverlap="1" wp14:anchorId="022FC22E" wp14:editId="1219BA52">
            <wp:simplePos x="0" y="0"/>
            <wp:positionH relativeFrom="column">
              <wp:posOffset>2762250</wp:posOffset>
            </wp:positionH>
            <wp:positionV relativeFrom="paragraph">
              <wp:posOffset>95250</wp:posOffset>
            </wp:positionV>
            <wp:extent cx="3430270" cy="2552700"/>
            <wp:effectExtent l="0" t="0" r="0" b="0"/>
            <wp:wrapSquare wrapText="bothSides"/>
            <wp:docPr id="18" name="Chart 18">
              <a:extLst xmlns:a="http://schemas.openxmlformats.org/drawingml/2006/main">
                <a:ext uri="{FF2B5EF4-FFF2-40B4-BE49-F238E27FC236}">
                  <a16:creationId xmlns:a16="http://schemas.microsoft.com/office/drawing/2014/main" id="{0705AFCE-042F-F35A-8A8C-B01348495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663677" w:rsidRPr="00887A8F">
        <w:rPr>
          <w:color w:val="4472C4" w:themeColor="accent1"/>
          <w:sz w:val="24"/>
          <w:szCs w:val="24"/>
        </w:rPr>
        <w:t>Disability</w:t>
      </w:r>
    </w:p>
    <w:p w14:paraId="55E8BC26" w14:textId="30502428" w:rsidR="00663677" w:rsidRPr="00D123CD" w:rsidRDefault="00663677" w:rsidP="00E521DD">
      <w:pPr>
        <w:rPr>
          <w:rFonts w:ascii="Corbel" w:hAnsi="Corbel"/>
          <w:sz w:val="24"/>
          <w:szCs w:val="24"/>
        </w:rPr>
      </w:pPr>
      <w:r w:rsidRPr="00D123CD">
        <w:rPr>
          <w:rFonts w:ascii="Corbel" w:hAnsi="Corbel"/>
          <w:sz w:val="24"/>
          <w:szCs w:val="24"/>
        </w:rPr>
        <w:t xml:space="preserve">The proportion of staff with a disability increased by 0.3 percentage points since 2021 to 4.9%, which is lower than the sector average, reported as 6.0%.  The non-reporting rate for disability was 2%, marginally higher than in 2021.  Although very small, the non-reporting rate </w:t>
      </w:r>
      <w:r w:rsidR="00F63267">
        <w:rPr>
          <w:rFonts w:ascii="Corbel" w:hAnsi="Corbel"/>
          <w:sz w:val="24"/>
          <w:szCs w:val="24"/>
        </w:rPr>
        <w:t xml:space="preserve">has </w:t>
      </w:r>
      <w:r w:rsidRPr="00D123CD">
        <w:rPr>
          <w:rFonts w:ascii="Corbel" w:hAnsi="Corbel"/>
          <w:sz w:val="24"/>
          <w:szCs w:val="24"/>
        </w:rPr>
        <w:t xml:space="preserve">more than doubled since 2018.  </w:t>
      </w:r>
    </w:p>
    <w:p w14:paraId="3F5300DA" w14:textId="058D7ADD" w:rsidR="00663677" w:rsidRPr="00D123CD" w:rsidRDefault="008F4EC9" w:rsidP="005A0EBC">
      <w:pPr>
        <w:rPr>
          <w:rFonts w:ascii="Corbel" w:hAnsi="Corbel"/>
          <w:sz w:val="24"/>
          <w:szCs w:val="24"/>
        </w:rPr>
      </w:pPr>
      <w:r w:rsidRPr="00D123CD">
        <w:rPr>
          <w:rFonts w:ascii="Corbel" w:hAnsi="Corbel"/>
          <w:noProof/>
          <w:sz w:val="24"/>
          <w:szCs w:val="24"/>
        </w:rPr>
        <mc:AlternateContent>
          <mc:Choice Requires="wps">
            <w:drawing>
              <wp:anchor distT="45720" distB="45720" distL="114300" distR="114300" simplePos="0" relativeHeight="251658248" behindDoc="0" locked="0" layoutInCell="1" allowOverlap="1" wp14:anchorId="1250438B" wp14:editId="0AC6AB21">
                <wp:simplePos x="0" y="0"/>
                <wp:positionH relativeFrom="margin">
                  <wp:posOffset>2707005</wp:posOffset>
                </wp:positionH>
                <wp:positionV relativeFrom="paragraph">
                  <wp:posOffset>635000</wp:posOffset>
                </wp:positionV>
                <wp:extent cx="339598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404620"/>
                        </a:xfrm>
                        <a:prstGeom prst="rect">
                          <a:avLst/>
                        </a:prstGeom>
                        <a:noFill/>
                        <a:ln w="9525">
                          <a:noFill/>
                          <a:miter lim="800000"/>
                          <a:headEnd/>
                          <a:tailEnd/>
                        </a:ln>
                      </wps:spPr>
                      <wps:txbx>
                        <w:txbxContent>
                          <w:p w14:paraId="51879FEB" w14:textId="77777777" w:rsidR="00663677" w:rsidRPr="00846AC5" w:rsidRDefault="00663677" w:rsidP="00E521DD">
                            <w:pPr>
                              <w:spacing w:after="0"/>
                              <w:jc w:val="right"/>
                              <w:rPr>
                                <w:sz w:val="18"/>
                                <w:szCs w:val="18"/>
                              </w:rPr>
                            </w:pPr>
                            <w:r w:rsidRPr="00846AC5">
                              <w:rPr>
                                <w:sz w:val="18"/>
                                <w:szCs w:val="18"/>
                              </w:rPr>
                              <w:t xml:space="preserve">Figure </w:t>
                            </w:r>
                            <w:r>
                              <w:rPr>
                                <w:sz w:val="18"/>
                                <w:szCs w:val="18"/>
                              </w:rPr>
                              <w:t xml:space="preserve">7 </w:t>
                            </w:r>
                            <w:r w:rsidRPr="00846AC5">
                              <w:rPr>
                                <w:sz w:val="18"/>
                                <w:szCs w:val="18"/>
                              </w:rPr>
                              <w:t xml:space="preserve">– </w:t>
                            </w:r>
                            <w:r>
                              <w:rPr>
                                <w:sz w:val="18"/>
                                <w:szCs w:val="18"/>
                              </w:rPr>
                              <w:t>disabled staff representation, 2018 - 2022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0438B" id="_x0000_s1032" type="#_x0000_t202" style="position:absolute;margin-left:213.15pt;margin-top:50pt;width:267.4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" filled="f" stroked="f">
                <v:textbox style="mso-fit-shape-to-text:t">
                  <w:txbxContent>
                    <w:p w14:paraId="51879FEB" w14:textId="77777777" w:rsidR="00663677" w:rsidRPr="00846AC5" w:rsidRDefault="00663677" w:rsidP="00E521DD">
                      <w:pPr>
                        <w:spacing w:after="0"/>
                        <w:jc w:val="right"/>
                        <w:rPr>
                          <w:sz w:val="18"/>
                          <w:szCs w:val="18"/>
                        </w:rPr>
                      </w:pPr>
                      <w:r w:rsidRPr="00846AC5">
                        <w:rPr>
                          <w:sz w:val="18"/>
                          <w:szCs w:val="18"/>
                        </w:rPr>
                        <w:t xml:space="preserve">Figure </w:t>
                      </w:r>
                      <w:r>
                        <w:rPr>
                          <w:sz w:val="18"/>
                          <w:szCs w:val="18"/>
                        </w:rPr>
                        <w:t xml:space="preserve">7 </w:t>
                      </w:r>
                      <w:r w:rsidRPr="00846AC5">
                        <w:rPr>
                          <w:sz w:val="18"/>
                          <w:szCs w:val="18"/>
                        </w:rPr>
                        <w:t xml:space="preserve">– </w:t>
                      </w:r>
                      <w:r>
                        <w:rPr>
                          <w:sz w:val="18"/>
                          <w:szCs w:val="18"/>
                        </w:rPr>
                        <w:t>disabled staff representation, 2018 - 2022</w:t>
                      </w:r>
                    </w:p>
                  </w:txbxContent>
                </v:textbox>
                <w10:wrap type="square" anchorx="margin"/>
              </v:shape>
            </w:pict>
          </mc:Fallback>
        </mc:AlternateContent>
      </w:r>
      <w:r w:rsidR="00663677" w:rsidRPr="00D123CD">
        <w:rPr>
          <w:rFonts w:ascii="Corbel" w:hAnsi="Corbel"/>
          <w:sz w:val="24"/>
          <w:szCs w:val="24"/>
        </w:rPr>
        <w:t>The increase in the proportion of disabled staff is due to a 0.6 percentage point increase in the proportion of academic disabled staff, to 4.7%.  There was a greater proportion of disabled staff in Professional Services (5.2%) but this percentage has not changed since 2021.</w:t>
      </w:r>
    </w:p>
    <w:p w14:paraId="3952D508" w14:textId="1142474B" w:rsidR="00663677" w:rsidRPr="00D123CD" w:rsidRDefault="00663677" w:rsidP="005A0EBC">
      <w:pPr>
        <w:rPr>
          <w:rFonts w:ascii="Corbel" w:hAnsi="Corbel"/>
          <w:sz w:val="24"/>
          <w:szCs w:val="24"/>
        </w:rPr>
      </w:pPr>
      <w:r w:rsidRPr="00D123CD">
        <w:rPr>
          <w:rFonts w:ascii="Corbel" w:hAnsi="Corbel"/>
          <w:sz w:val="24"/>
          <w:szCs w:val="24"/>
        </w:rPr>
        <w:t>“Long standing illness/health condition” was the highest declared condition (1.8%) followed by mental health conditions (0.8%) and specific learning disabilities eg dyslexia (0.6%).</w:t>
      </w:r>
    </w:p>
    <w:p w14:paraId="39C36727" w14:textId="3F5F4F37" w:rsidR="00663677" w:rsidRPr="00D123CD" w:rsidRDefault="00663677" w:rsidP="005A0EBC">
      <w:pPr>
        <w:jc w:val="both"/>
        <w:rPr>
          <w:rFonts w:ascii="Corbel" w:hAnsi="Corbel"/>
          <w:sz w:val="24"/>
          <w:szCs w:val="24"/>
        </w:rPr>
      </w:pPr>
      <w:r w:rsidRPr="00D123CD">
        <w:rPr>
          <w:rFonts w:ascii="Corbel" w:hAnsi="Corbel"/>
          <w:sz w:val="24"/>
          <w:szCs w:val="24"/>
        </w:rPr>
        <w:t xml:space="preserve">Figure 8 shows changes in the </w:t>
      </w:r>
      <w:r w:rsidR="006F3A04">
        <w:rPr>
          <w:rFonts w:ascii="Corbel" w:hAnsi="Corbel"/>
          <w:sz w:val="24"/>
          <w:szCs w:val="24"/>
        </w:rPr>
        <w:t xml:space="preserve">grade </w:t>
      </w:r>
      <w:r w:rsidRPr="00D123CD">
        <w:rPr>
          <w:rFonts w:ascii="Corbel" w:hAnsi="Corbel"/>
          <w:sz w:val="24"/>
          <w:szCs w:val="24"/>
        </w:rPr>
        <w:t xml:space="preserve">representation of disabled colleague by four aggregated grade groups, created </w:t>
      </w:r>
      <w:r w:rsidR="00AD7010">
        <w:rPr>
          <w:rFonts w:ascii="Corbel" w:hAnsi="Corbel"/>
          <w:sz w:val="24"/>
          <w:szCs w:val="24"/>
        </w:rPr>
        <w:t xml:space="preserve">to enable reporting </w:t>
      </w:r>
      <w:r w:rsidRPr="00D123CD">
        <w:rPr>
          <w:rFonts w:ascii="Corbel" w:hAnsi="Corbel"/>
          <w:sz w:val="24"/>
          <w:szCs w:val="24"/>
        </w:rPr>
        <w:t>due to small numbers.  The highest proportion of disabled staff were at grades 2, 3 and 4 (7.4%), and the lowest at grades 5 and 6 (2.9%).  The proportion of disabled staff increased in all grade groups except for grades 5 and 6, where there was a reduction of 2.8 percentage points.  Representation at grades 9, 10 and professor increased by 0.9 percentage points since 2021.</w:t>
      </w:r>
    </w:p>
    <w:p w14:paraId="18591571" w14:textId="77777777" w:rsidR="00663677" w:rsidRPr="00D123CD" w:rsidRDefault="00663677" w:rsidP="00663677">
      <w:pPr>
        <w:ind w:left="426"/>
        <w:jc w:val="both"/>
        <w:rPr>
          <w:rFonts w:ascii="Corbel" w:hAnsi="Corbel"/>
          <w:sz w:val="24"/>
          <w:szCs w:val="24"/>
        </w:rPr>
      </w:pPr>
    </w:p>
    <w:p w14:paraId="2C985476" w14:textId="77777777" w:rsidR="00663677" w:rsidRPr="00DD519A" w:rsidRDefault="00663677" w:rsidP="00E46568">
      <w:r>
        <w:rPr>
          <w:noProof/>
        </w:rPr>
        <w:drawing>
          <wp:inline distT="0" distB="0" distL="0" distR="0" wp14:anchorId="13949DB7" wp14:editId="39729B55">
            <wp:extent cx="5915025" cy="2486025"/>
            <wp:effectExtent l="0" t="0" r="0" b="0"/>
            <wp:docPr id="15" name="Chart 15">
              <a:extLst xmlns:a="http://schemas.openxmlformats.org/drawingml/2006/main">
                <a:ext uri="{FF2B5EF4-FFF2-40B4-BE49-F238E27FC236}">
                  <a16:creationId xmlns:a16="http://schemas.microsoft.com/office/drawing/2014/main" id="{DCC5E710-BCC5-0255-51DE-FD9704D20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ED067C" w14:textId="77777777" w:rsidR="00663677" w:rsidRPr="00DD519A" w:rsidRDefault="00663677" w:rsidP="00663677">
      <w:pPr>
        <w:jc w:val="both"/>
      </w:pPr>
      <w:r w:rsidRPr="00DD519A">
        <w:rPr>
          <w:noProof/>
        </w:rPr>
        <mc:AlternateContent>
          <mc:Choice Requires="wps">
            <w:drawing>
              <wp:anchor distT="45720" distB="45720" distL="114300" distR="114300" simplePos="0" relativeHeight="251658250" behindDoc="0" locked="0" layoutInCell="1" allowOverlap="1" wp14:anchorId="268CE0F9" wp14:editId="059F7804">
                <wp:simplePos x="0" y="0"/>
                <wp:positionH relativeFrom="margin">
                  <wp:posOffset>900752</wp:posOffset>
                </wp:positionH>
                <wp:positionV relativeFrom="paragraph">
                  <wp:posOffset>80057</wp:posOffset>
                </wp:positionV>
                <wp:extent cx="474853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1404620"/>
                        </a:xfrm>
                        <a:prstGeom prst="rect">
                          <a:avLst/>
                        </a:prstGeom>
                        <a:noFill/>
                        <a:ln w="9525">
                          <a:noFill/>
                          <a:miter lim="800000"/>
                          <a:headEnd/>
                          <a:tailEnd/>
                        </a:ln>
                      </wps:spPr>
                      <wps:txbx>
                        <w:txbxContent>
                          <w:p w14:paraId="661A88D1" w14:textId="77777777" w:rsidR="00663677" w:rsidRPr="00E65FB5" w:rsidRDefault="00663677" w:rsidP="00E521DD">
                            <w:pPr>
                              <w:spacing w:after="0"/>
                              <w:jc w:val="right"/>
                              <w:rPr>
                                <w:rFonts w:ascii="Corbel" w:hAnsi="Corbel"/>
                                <w:sz w:val="20"/>
                                <w:szCs w:val="20"/>
                              </w:rPr>
                            </w:pPr>
                            <w:r w:rsidRPr="00E65FB5">
                              <w:rPr>
                                <w:rFonts w:ascii="Corbel" w:hAnsi="Corbel"/>
                                <w:sz w:val="20"/>
                                <w:szCs w:val="20"/>
                              </w:rPr>
                              <w:t>Figure 8 – change in representation of disabled colleagues by grade, 2021 -2022</w:t>
                            </w:r>
                          </w:p>
                          <w:p w14:paraId="22FFAE71" w14:textId="77777777" w:rsidR="00663677" w:rsidRPr="00E65FB5" w:rsidRDefault="00663677" w:rsidP="00E521DD">
                            <w:pPr>
                              <w:spacing w:after="0"/>
                              <w:jc w:val="right"/>
                              <w:rPr>
                                <w:rFonts w:ascii="Corbel" w:hAnsi="Corbel"/>
                                <w:sz w:val="20"/>
                                <w:szCs w:val="20"/>
                              </w:rPr>
                            </w:pPr>
                            <w:r w:rsidRPr="00E65FB5">
                              <w:rPr>
                                <w:rFonts w:ascii="Corbel" w:hAnsi="Corbel"/>
                                <w:sz w:val="20"/>
                                <w:szCs w:val="20"/>
                              </w:rPr>
                              <w:t>*Numbers in brackets represent the number of staff as at 31 July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CE0F9" id="_x0000_s1033" type="#_x0000_t202" style="position:absolute;left:0;text-align:left;margin-left:70.95pt;margin-top:6.3pt;width:373.9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" filled="f" stroked="f">
                <v:textbox style="mso-fit-shape-to-text:t">
                  <w:txbxContent>
                    <w:p w14:paraId="661A88D1" w14:textId="77777777" w:rsidR="00663677" w:rsidRPr="00E65FB5" w:rsidRDefault="00663677" w:rsidP="00E521DD">
                      <w:pPr>
                        <w:spacing w:after="0"/>
                        <w:jc w:val="right"/>
                        <w:rPr>
                          <w:rFonts w:ascii="Corbel" w:hAnsi="Corbel"/>
                          <w:sz w:val="20"/>
                          <w:szCs w:val="20"/>
                        </w:rPr>
                      </w:pPr>
                      <w:r w:rsidRPr="00E65FB5">
                        <w:rPr>
                          <w:rFonts w:ascii="Corbel" w:hAnsi="Corbel"/>
                          <w:sz w:val="20"/>
                          <w:szCs w:val="20"/>
                        </w:rPr>
                        <w:t>Figure 8 – change in representation of disabled colleagues by grade, 2021 -2022</w:t>
                      </w:r>
                    </w:p>
                    <w:p w14:paraId="22FFAE71" w14:textId="77777777" w:rsidR="00663677" w:rsidRPr="00E65FB5" w:rsidRDefault="00663677" w:rsidP="00E521DD">
                      <w:pPr>
                        <w:spacing w:after="0"/>
                        <w:jc w:val="right"/>
                        <w:rPr>
                          <w:rFonts w:ascii="Corbel" w:hAnsi="Corbel"/>
                          <w:sz w:val="20"/>
                          <w:szCs w:val="20"/>
                        </w:rPr>
                      </w:pPr>
                      <w:r w:rsidRPr="00E65FB5">
                        <w:rPr>
                          <w:rFonts w:ascii="Corbel" w:hAnsi="Corbel"/>
                          <w:sz w:val="20"/>
                          <w:szCs w:val="20"/>
                        </w:rPr>
                        <w:t>*Numbers in brackets represent the number of staff as at 31 July 2022.</w:t>
                      </w:r>
                    </w:p>
                  </w:txbxContent>
                </v:textbox>
                <w10:wrap type="square" anchorx="margin"/>
              </v:shape>
            </w:pict>
          </mc:Fallback>
        </mc:AlternateContent>
      </w:r>
    </w:p>
    <w:p w14:paraId="221EB829" w14:textId="77777777" w:rsidR="00663677" w:rsidRDefault="00663677" w:rsidP="00663677">
      <w:pPr>
        <w:rPr>
          <w:b/>
          <w:bCs/>
        </w:rPr>
      </w:pPr>
    </w:p>
    <w:p w14:paraId="0F8BD324" w14:textId="77777777" w:rsidR="00663677" w:rsidRDefault="00663677" w:rsidP="00663677">
      <w:pPr>
        <w:rPr>
          <w:b/>
          <w:bCs/>
        </w:rPr>
      </w:pPr>
    </w:p>
    <w:p w14:paraId="3D27934E" w14:textId="2D719BAF" w:rsidR="00921A36" w:rsidRPr="009C1F7A" w:rsidRDefault="00887A8F" w:rsidP="00921A36">
      <w:pPr>
        <w:rPr>
          <w:rFonts w:ascii="Corbel" w:hAnsi="Corbel"/>
          <w:color w:val="4472C4" w:themeColor="accent1"/>
          <w:sz w:val="24"/>
          <w:szCs w:val="24"/>
        </w:rPr>
      </w:pPr>
      <w:r w:rsidRPr="009C1F7A">
        <w:rPr>
          <w:rFonts w:ascii="Corbel" w:hAnsi="Corbel"/>
          <w:noProof/>
          <w:color w:val="4472C4" w:themeColor="accent1"/>
          <w:sz w:val="24"/>
          <w:szCs w:val="24"/>
        </w:rPr>
        <w:lastRenderedPageBreak/>
        <w:drawing>
          <wp:anchor distT="0" distB="0" distL="114300" distR="114300" simplePos="0" relativeHeight="251658251" behindDoc="1" locked="0" layoutInCell="1" allowOverlap="1" wp14:anchorId="130D1A64" wp14:editId="2108F64F">
            <wp:simplePos x="0" y="0"/>
            <wp:positionH relativeFrom="column">
              <wp:posOffset>2124075</wp:posOffset>
            </wp:positionH>
            <wp:positionV relativeFrom="paragraph">
              <wp:posOffset>9525</wp:posOffset>
            </wp:positionV>
            <wp:extent cx="3858895" cy="2705100"/>
            <wp:effectExtent l="0" t="0" r="8255" b="0"/>
            <wp:wrapTight wrapText="bothSides">
              <wp:wrapPolygon edited="0">
                <wp:start x="0" y="0"/>
                <wp:lineTo x="0" y="21448"/>
                <wp:lineTo x="21540" y="21448"/>
                <wp:lineTo x="21540" y="0"/>
                <wp:lineTo x="0" y="0"/>
              </wp:wrapPolygon>
            </wp:wrapTight>
            <wp:docPr id="8" name="Chart 8">
              <a:extLst xmlns:a="http://schemas.openxmlformats.org/drawingml/2006/main">
                <a:ext uri="{FF2B5EF4-FFF2-40B4-BE49-F238E27FC236}">
                  <a16:creationId xmlns:a16="http://schemas.microsoft.com/office/drawing/2014/main" id="{7E76C7EB-5DAC-E44E-FB37-7BB421BF4F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921A36" w:rsidRPr="009C1F7A">
        <w:rPr>
          <w:rFonts w:ascii="Corbel" w:hAnsi="Corbel"/>
          <w:color w:val="4472C4" w:themeColor="accent1"/>
          <w:sz w:val="24"/>
          <w:szCs w:val="24"/>
        </w:rPr>
        <w:t>Sexual Orientation</w:t>
      </w:r>
    </w:p>
    <w:p w14:paraId="2FE005EB" w14:textId="5D7BBB54" w:rsidR="00921A36" w:rsidRPr="00680C78" w:rsidRDefault="00921A36" w:rsidP="00680C78">
      <w:pPr>
        <w:rPr>
          <w:rFonts w:ascii="Corbel" w:hAnsi="Corbel"/>
          <w:sz w:val="24"/>
          <w:szCs w:val="24"/>
        </w:rPr>
      </w:pPr>
      <w:r w:rsidRPr="009C1F7A">
        <w:rPr>
          <w:rFonts w:ascii="Corbel" w:hAnsi="Corbel"/>
          <w:noProof/>
          <w:sz w:val="24"/>
          <w:szCs w:val="24"/>
        </w:rPr>
        <mc:AlternateContent>
          <mc:Choice Requires="wps">
            <w:drawing>
              <wp:anchor distT="45720" distB="45720" distL="114300" distR="114300" simplePos="0" relativeHeight="251658253" behindDoc="0" locked="0" layoutInCell="1" allowOverlap="1" wp14:anchorId="1BB1DF57" wp14:editId="43E69697">
                <wp:simplePos x="0" y="0"/>
                <wp:positionH relativeFrom="page">
                  <wp:posOffset>3434715</wp:posOffset>
                </wp:positionH>
                <wp:positionV relativeFrom="paragraph">
                  <wp:posOffset>2486660</wp:posOffset>
                </wp:positionV>
                <wp:extent cx="339598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404620"/>
                        </a:xfrm>
                        <a:prstGeom prst="rect">
                          <a:avLst/>
                        </a:prstGeom>
                        <a:noFill/>
                        <a:ln w="9525">
                          <a:noFill/>
                          <a:miter lim="800000"/>
                          <a:headEnd/>
                          <a:tailEnd/>
                        </a:ln>
                      </wps:spPr>
                      <wps:txbx>
                        <w:txbxContent>
                          <w:p w14:paraId="791CBBD0" w14:textId="77777777" w:rsidR="00921A36" w:rsidRPr="00846AC5" w:rsidRDefault="00921A36" w:rsidP="00887A8F">
                            <w:pPr>
                              <w:spacing w:after="0"/>
                              <w:jc w:val="right"/>
                              <w:rPr>
                                <w:sz w:val="18"/>
                                <w:szCs w:val="18"/>
                              </w:rPr>
                            </w:pPr>
                            <w:r w:rsidRPr="00846AC5">
                              <w:rPr>
                                <w:sz w:val="18"/>
                                <w:szCs w:val="18"/>
                              </w:rPr>
                              <w:t xml:space="preserve">Figure </w:t>
                            </w:r>
                            <w:r>
                              <w:rPr>
                                <w:sz w:val="18"/>
                                <w:szCs w:val="18"/>
                              </w:rPr>
                              <w:t xml:space="preserve">9 </w:t>
                            </w:r>
                            <w:r w:rsidRPr="00846AC5">
                              <w:rPr>
                                <w:sz w:val="18"/>
                                <w:szCs w:val="18"/>
                              </w:rPr>
                              <w:t>–</w:t>
                            </w:r>
                            <w:r>
                              <w:rPr>
                                <w:sz w:val="18"/>
                                <w:szCs w:val="18"/>
                              </w:rPr>
                              <w:t>staff representation by sexual orientation, 2018 - 2022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1DF57" id="_x0000_s1034" type="#_x0000_t202" style="position:absolute;margin-left:270.45pt;margin-top:195.8pt;width:267.4pt;height:110.6pt;z-index:25165825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" filled="f" stroked="f">
                <v:textbox style="mso-fit-shape-to-text:t">
                  <w:txbxContent>
                    <w:p w14:paraId="791CBBD0" w14:textId="77777777" w:rsidR="00921A36" w:rsidRPr="00846AC5" w:rsidRDefault="00921A36" w:rsidP="00887A8F">
                      <w:pPr>
                        <w:spacing w:after="0"/>
                        <w:jc w:val="right"/>
                        <w:rPr>
                          <w:sz w:val="18"/>
                          <w:szCs w:val="18"/>
                        </w:rPr>
                      </w:pPr>
                      <w:r w:rsidRPr="00846AC5">
                        <w:rPr>
                          <w:sz w:val="18"/>
                          <w:szCs w:val="18"/>
                        </w:rPr>
                        <w:t xml:space="preserve">Figure </w:t>
                      </w:r>
                      <w:r>
                        <w:rPr>
                          <w:sz w:val="18"/>
                          <w:szCs w:val="18"/>
                        </w:rPr>
                        <w:t xml:space="preserve">9 </w:t>
                      </w:r>
                      <w:r w:rsidRPr="00846AC5">
                        <w:rPr>
                          <w:sz w:val="18"/>
                          <w:szCs w:val="18"/>
                        </w:rPr>
                        <w:t>–</w:t>
                      </w:r>
                      <w:r>
                        <w:rPr>
                          <w:sz w:val="18"/>
                          <w:szCs w:val="18"/>
                        </w:rPr>
                        <w:t>staff representation by sexual orientation, 2018 - 2022</w:t>
                      </w:r>
                    </w:p>
                  </w:txbxContent>
                </v:textbox>
                <w10:wrap type="square" anchorx="page"/>
              </v:shape>
            </w:pict>
          </mc:Fallback>
        </mc:AlternateContent>
      </w:r>
      <w:r w:rsidRPr="009C1F7A">
        <w:rPr>
          <w:rFonts w:ascii="Corbel" w:hAnsi="Corbel"/>
          <w:sz w:val="24"/>
          <w:szCs w:val="24"/>
        </w:rPr>
        <w:t>The proportion of LGBT+ colleagues increased by 0.9 percentage points since the previous year, and by 2.2 percentage points since 2018.  The sector average in 2021 was 4.5%.  The proportion of colleagues who preferred not to record their sexual orientation has decreased substantially since 2018, falling from 40.8% to 27.8%.  This non-reporting rate continues to be lower than the reported sector average (39.3%).</w:t>
      </w:r>
    </w:p>
    <w:p w14:paraId="404FD985" w14:textId="77777777" w:rsidR="00921A36" w:rsidRPr="00680C78" w:rsidRDefault="00921A36" w:rsidP="007354A5">
      <w:pPr>
        <w:rPr>
          <w:rFonts w:ascii="Corbel" w:hAnsi="Corbel"/>
          <w:sz w:val="24"/>
          <w:szCs w:val="24"/>
        </w:rPr>
      </w:pPr>
      <w:r w:rsidRPr="00680C78">
        <w:rPr>
          <w:rFonts w:ascii="Corbel" w:hAnsi="Corbel"/>
          <w:sz w:val="24"/>
          <w:szCs w:val="24"/>
        </w:rPr>
        <w:t>There was a 0.7 percentage point increase in the proportion of LGBT+ colleagues in Academic schools and departments to 8.2%, and a fall of 2.9 percentage points in the non-reporting rate to 35.6%.  There was a 1.1 percentage point increase in the proportion of LGBT+ colleagues in Professional Services to 4.4%, where the non-reporting rate for sexual orientation also fell from 21.7% to 18.6%.</w:t>
      </w:r>
    </w:p>
    <w:p w14:paraId="5258924A" w14:textId="0308BB3E" w:rsidR="00921A36" w:rsidRPr="00921A36" w:rsidRDefault="00921A36" w:rsidP="00921A36">
      <w:pPr>
        <w:ind w:left="360" w:hanging="360"/>
      </w:pPr>
      <w:r>
        <w:rPr>
          <w:noProof/>
        </w:rPr>
        <w:drawing>
          <wp:inline distT="0" distB="0" distL="0" distR="0" wp14:anchorId="0103F459" wp14:editId="3A5D4B03">
            <wp:extent cx="5676900" cy="2790825"/>
            <wp:effectExtent l="0" t="0" r="0" b="0"/>
            <wp:docPr id="21" name="Chart 21">
              <a:extLst xmlns:a="http://schemas.openxmlformats.org/drawingml/2006/main">
                <a:ext uri="{FF2B5EF4-FFF2-40B4-BE49-F238E27FC236}">
                  <a16:creationId xmlns:a16="http://schemas.microsoft.com/office/drawing/2014/main" id="{5A07A320-D8D2-C713-A0C6-E3C032A8D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647F21" w14:textId="3C8DC5CB" w:rsidR="00921A36" w:rsidRPr="00921A36" w:rsidRDefault="00921A36" w:rsidP="007354A5">
      <w:pPr>
        <w:pStyle w:val="ListParagraph"/>
        <w:numPr>
          <w:ilvl w:val="0"/>
          <w:numId w:val="0"/>
        </w:numPr>
        <w:rPr>
          <w:sz w:val="22"/>
          <w:szCs w:val="22"/>
        </w:rPr>
      </w:pPr>
      <w:r w:rsidRPr="00DD519A">
        <w:rPr>
          <w:noProof/>
        </w:rPr>
        <mc:AlternateContent>
          <mc:Choice Requires="wps">
            <w:drawing>
              <wp:anchor distT="45720" distB="45720" distL="114300" distR="114300" simplePos="0" relativeHeight="251658254" behindDoc="0" locked="0" layoutInCell="1" allowOverlap="1" wp14:anchorId="146C2685" wp14:editId="460392B1">
                <wp:simplePos x="0" y="0"/>
                <wp:positionH relativeFrom="margin">
                  <wp:posOffset>885825</wp:posOffset>
                </wp:positionH>
                <wp:positionV relativeFrom="paragraph">
                  <wp:posOffset>10795</wp:posOffset>
                </wp:positionV>
                <wp:extent cx="4748530" cy="2476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247650"/>
                        </a:xfrm>
                        <a:prstGeom prst="rect">
                          <a:avLst/>
                        </a:prstGeom>
                        <a:noFill/>
                        <a:ln w="9525">
                          <a:noFill/>
                          <a:miter lim="800000"/>
                          <a:headEnd/>
                          <a:tailEnd/>
                        </a:ln>
                      </wps:spPr>
                      <wps:txbx>
                        <w:txbxContent>
                          <w:p w14:paraId="5C779477" w14:textId="77777777" w:rsidR="00921A36" w:rsidRPr="00846AC5" w:rsidRDefault="00921A36" w:rsidP="00921A36">
                            <w:pPr>
                              <w:jc w:val="right"/>
                              <w:rPr>
                                <w:sz w:val="18"/>
                                <w:szCs w:val="18"/>
                              </w:rPr>
                            </w:pPr>
                            <w:r w:rsidRPr="00846AC5">
                              <w:rPr>
                                <w:sz w:val="18"/>
                                <w:szCs w:val="18"/>
                              </w:rPr>
                              <w:t xml:space="preserve">Figure </w:t>
                            </w:r>
                            <w:r>
                              <w:rPr>
                                <w:sz w:val="18"/>
                                <w:szCs w:val="18"/>
                              </w:rPr>
                              <w:t>10</w:t>
                            </w:r>
                            <w:r w:rsidRPr="00846AC5">
                              <w:rPr>
                                <w:sz w:val="18"/>
                                <w:szCs w:val="18"/>
                              </w:rPr>
                              <w:t xml:space="preserve"> – </w:t>
                            </w:r>
                            <w:r>
                              <w:rPr>
                                <w:sz w:val="18"/>
                                <w:szCs w:val="18"/>
                              </w:rPr>
                              <w:t xml:space="preserve">change in representation of LGBT+ colleagues by grade, </w:t>
                            </w:r>
                            <w:r w:rsidRPr="00846AC5">
                              <w:rPr>
                                <w:sz w:val="18"/>
                                <w:szCs w:val="18"/>
                              </w:rPr>
                              <w:t>20</w:t>
                            </w:r>
                            <w:r>
                              <w:rPr>
                                <w:sz w:val="18"/>
                                <w:szCs w:val="18"/>
                              </w:rPr>
                              <w:t>21 -2022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2685" id="_x0000_s1035" type="#_x0000_t202" style="position:absolute;left:0;text-align:left;margin-left:69.75pt;margin-top:.85pt;width:373.9pt;height:19.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" filled="f" stroked="f">
                <v:textbox>
                  <w:txbxContent>
                    <w:p w14:paraId="5C779477" w14:textId="77777777" w:rsidR="00921A36" w:rsidRPr="00846AC5" w:rsidRDefault="00921A36" w:rsidP="00921A36">
                      <w:pPr>
                        <w:jc w:val="right"/>
                        <w:rPr>
                          <w:sz w:val="18"/>
                          <w:szCs w:val="18"/>
                        </w:rPr>
                      </w:pPr>
                      <w:r w:rsidRPr="00846AC5">
                        <w:rPr>
                          <w:sz w:val="18"/>
                          <w:szCs w:val="18"/>
                        </w:rPr>
                        <w:t xml:space="preserve">Figure </w:t>
                      </w:r>
                      <w:r>
                        <w:rPr>
                          <w:sz w:val="18"/>
                          <w:szCs w:val="18"/>
                        </w:rPr>
                        <w:t>10</w:t>
                      </w:r>
                      <w:r w:rsidRPr="00846AC5">
                        <w:rPr>
                          <w:sz w:val="18"/>
                          <w:szCs w:val="18"/>
                        </w:rPr>
                        <w:t xml:space="preserve"> – </w:t>
                      </w:r>
                      <w:r>
                        <w:rPr>
                          <w:sz w:val="18"/>
                          <w:szCs w:val="18"/>
                        </w:rPr>
                        <w:t xml:space="preserve">change in representation of LGBT+ colleagues by grade, </w:t>
                      </w:r>
                      <w:r w:rsidRPr="00846AC5">
                        <w:rPr>
                          <w:sz w:val="18"/>
                          <w:szCs w:val="18"/>
                        </w:rPr>
                        <w:t>20</w:t>
                      </w:r>
                      <w:r>
                        <w:rPr>
                          <w:sz w:val="18"/>
                          <w:szCs w:val="18"/>
                        </w:rPr>
                        <w:t>21 -2022</w:t>
                      </w:r>
                    </w:p>
                  </w:txbxContent>
                </v:textbox>
                <w10:wrap type="square" anchorx="margin"/>
              </v:shape>
            </w:pict>
          </mc:Fallback>
        </mc:AlternateContent>
      </w:r>
    </w:p>
    <w:p w14:paraId="0A11CF48" w14:textId="77777777" w:rsidR="00921A36" w:rsidRDefault="00921A36" w:rsidP="007354A5">
      <w:pPr>
        <w:pStyle w:val="ListParagraph"/>
        <w:numPr>
          <w:ilvl w:val="0"/>
          <w:numId w:val="0"/>
        </w:numPr>
        <w:jc w:val="left"/>
        <w:rPr>
          <w:sz w:val="22"/>
          <w:szCs w:val="22"/>
        </w:rPr>
      </w:pPr>
    </w:p>
    <w:p w14:paraId="366E1FFB" w14:textId="6849C584" w:rsidR="00921A36" w:rsidRPr="00680C78" w:rsidRDefault="00921A36" w:rsidP="00C71107">
      <w:pPr>
        <w:pStyle w:val="ListParagraph"/>
        <w:numPr>
          <w:ilvl w:val="0"/>
          <w:numId w:val="0"/>
        </w:numPr>
        <w:spacing w:after="160" w:line="259" w:lineRule="auto"/>
        <w:jc w:val="left"/>
        <w:rPr>
          <w:sz w:val="24"/>
          <w:szCs w:val="24"/>
        </w:rPr>
      </w:pPr>
      <w:r w:rsidRPr="00680C78">
        <w:rPr>
          <w:sz w:val="24"/>
          <w:szCs w:val="24"/>
        </w:rPr>
        <w:t>Figure 10 shows representation of LGBT+ colleagues by three grade groups, aggregated to enable reporting.  Whilst reporting cannot be shown in relation to grades 2, 3 and 4, the proportion of LGBT+ colleagues rose in all other grade groups.  The highest proportion was in grades 7 and 8 (7.5%).  The non-reporting rate at grades 9, 10 and Professor level remains high, at 45.4%</w:t>
      </w:r>
    </w:p>
    <w:p w14:paraId="39CDB7ED" w14:textId="77777777" w:rsidR="00921A36" w:rsidRPr="00680C78" w:rsidRDefault="00921A36" w:rsidP="00921A36">
      <w:pPr>
        <w:rPr>
          <w:sz w:val="24"/>
          <w:szCs w:val="24"/>
        </w:rPr>
      </w:pPr>
    </w:p>
    <w:p w14:paraId="2415CD7A" w14:textId="78810275" w:rsidR="00921A36" w:rsidRPr="00952E33" w:rsidRDefault="0026161D" w:rsidP="00921A36">
      <w:pPr>
        <w:rPr>
          <w:rFonts w:ascii="Corbel" w:hAnsi="Corbel"/>
          <w:color w:val="4472C4" w:themeColor="accent1"/>
          <w:sz w:val="24"/>
          <w:szCs w:val="24"/>
        </w:rPr>
      </w:pPr>
      <w:r w:rsidRPr="00680C78">
        <w:rPr>
          <w:rFonts w:ascii="Corbel" w:hAnsi="Corbel"/>
          <w:noProof/>
          <w:sz w:val="24"/>
          <w:szCs w:val="24"/>
        </w:rPr>
        <w:lastRenderedPageBreak/>
        <w:drawing>
          <wp:anchor distT="0" distB="0" distL="114300" distR="114300" simplePos="0" relativeHeight="251658252" behindDoc="0" locked="0" layoutInCell="1" allowOverlap="1" wp14:anchorId="0BE5EDC3" wp14:editId="7E6CF565">
            <wp:simplePos x="0" y="0"/>
            <wp:positionH relativeFrom="column">
              <wp:posOffset>2514600</wp:posOffset>
            </wp:positionH>
            <wp:positionV relativeFrom="paragraph">
              <wp:posOffset>304800</wp:posOffset>
            </wp:positionV>
            <wp:extent cx="3531870" cy="2800350"/>
            <wp:effectExtent l="0" t="0" r="11430" b="0"/>
            <wp:wrapSquare wrapText="bothSides"/>
            <wp:docPr id="10" name="Chart 10">
              <a:extLst xmlns:a="http://schemas.openxmlformats.org/drawingml/2006/main">
                <a:ext uri="{FF2B5EF4-FFF2-40B4-BE49-F238E27FC236}">
                  <a16:creationId xmlns:a16="http://schemas.microsoft.com/office/drawing/2014/main" id="{698EAB50-C0A4-75EF-6D42-4B91A3C56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921A36" w:rsidRPr="00952E33">
        <w:rPr>
          <w:rFonts w:ascii="Corbel" w:hAnsi="Corbel"/>
          <w:color w:val="4472C4" w:themeColor="accent1"/>
          <w:sz w:val="24"/>
          <w:szCs w:val="24"/>
        </w:rPr>
        <w:t>Age</w:t>
      </w:r>
    </w:p>
    <w:p w14:paraId="6F1FC80A" w14:textId="38E3069A" w:rsidR="00921A36" w:rsidRPr="00680C78" w:rsidRDefault="00921A36" w:rsidP="004F157D">
      <w:pPr>
        <w:rPr>
          <w:rFonts w:ascii="Corbel" w:hAnsi="Corbel"/>
          <w:sz w:val="24"/>
          <w:szCs w:val="24"/>
        </w:rPr>
      </w:pPr>
      <w:r w:rsidRPr="00680C78">
        <w:rPr>
          <w:rFonts w:ascii="Corbel" w:hAnsi="Corbel"/>
          <w:sz w:val="24"/>
          <w:szCs w:val="24"/>
        </w:rPr>
        <w:t>Age distribution over five years shows a steady decline in the proportion of staff aged 40 and under, which has fallen from 43.9% in 2018 to 36.8% in 2022.  The proportion of staff aged fifty and over has increased from 32.2% in 2018 to 35.3% in 2022.  The age group with the biggest increase is 41-50, which has gone from 24.1% in 2018 to 28% in 2022.</w:t>
      </w:r>
    </w:p>
    <w:p w14:paraId="00524342" w14:textId="77777777" w:rsidR="00921A36" w:rsidRPr="00162932" w:rsidRDefault="00921A36" w:rsidP="00680C78">
      <w:pPr>
        <w:rPr>
          <w:rFonts w:ascii="Corbel" w:hAnsi="Corbel"/>
          <w:sz w:val="24"/>
          <w:szCs w:val="24"/>
        </w:rPr>
      </w:pPr>
      <w:r w:rsidRPr="00162932">
        <w:rPr>
          <w:rFonts w:ascii="Corbel" w:hAnsi="Corbel"/>
          <w:noProof/>
          <w:sz w:val="24"/>
          <w:szCs w:val="24"/>
        </w:rPr>
        <mc:AlternateContent>
          <mc:Choice Requires="wps">
            <w:drawing>
              <wp:anchor distT="45720" distB="45720" distL="114300" distR="114300" simplePos="0" relativeHeight="251658255" behindDoc="0" locked="0" layoutInCell="1" allowOverlap="1" wp14:anchorId="1E00F8E9" wp14:editId="2A081044">
                <wp:simplePos x="0" y="0"/>
                <wp:positionH relativeFrom="page">
                  <wp:posOffset>3544570</wp:posOffset>
                </wp:positionH>
                <wp:positionV relativeFrom="paragraph">
                  <wp:posOffset>713740</wp:posOffset>
                </wp:positionV>
                <wp:extent cx="3395980" cy="2286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228600"/>
                        </a:xfrm>
                        <a:prstGeom prst="rect">
                          <a:avLst/>
                        </a:prstGeom>
                        <a:noFill/>
                        <a:ln w="9525">
                          <a:noFill/>
                          <a:miter lim="800000"/>
                          <a:headEnd/>
                          <a:tailEnd/>
                        </a:ln>
                      </wps:spPr>
                      <wps:txbx>
                        <w:txbxContent>
                          <w:p w14:paraId="52226207" w14:textId="77777777" w:rsidR="00921A36" w:rsidRPr="00846AC5" w:rsidRDefault="00921A36" w:rsidP="00921A36">
                            <w:pPr>
                              <w:jc w:val="right"/>
                              <w:rPr>
                                <w:sz w:val="18"/>
                                <w:szCs w:val="18"/>
                              </w:rPr>
                            </w:pPr>
                            <w:r w:rsidRPr="00846AC5">
                              <w:rPr>
                                <w:sz w:val="18"/>
                                <w:szCs w:val="18"/>
                              </w:rPr>
                              <w:t xml:space="preserve">Figure </w:t>
                            </w:r>
                            <w:r>
                              <w:rPr>
                                <w:sz w:val="18"/>
                                <w:szCs w:val="18"/>
                              </w:rPr>
                              <w:t xml:space="preserve">11 </w:t>
                            </w:r>
                            <w:r w:rsidRPr="00846AC5">
                              <w:rPr>
                                <w:sz w:val="18"/>
                                <w:szCs w:val="18"/>
                              </w:rPr>
                              <w:t>–</w:t>
                            </w:r>
                            <w:r>
                              <w:rPr>
                                <w:sz w:val="18"/>
                                <w:szCs w:val="18"/>
                              </w:rPr>
                              <w:t>staff representation by age, 2018 - 2022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0F8E9" id="_x0000_s1036" type="#_x0000_t202" style="position:absolute;margin-left:279.1pt;margin-top:56.2pt;width:267.4pt;height:18pt;z-index:25165825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" filled="f" stroked="f">
                <v:textbox>
                  <w:txbxContent>
                    <w:p w14:paraId="52226207" w14:textId="77777777" w:rsidR="00921A36" w:rsidRPr="00846AC5" w:rsidRDefault="00921A36" w:rsidP="00921A36">
                      <w:pPr>
                        <w:jc w:val="right"/>
                        <w:rPr>
                          <w:sz w:val="18"/>
                          <w:szCs w:val="18"/>
                        </w:rPr>
                      </w:pPr>
                      <w:r w:rsidRPr="00846AC5">
                        <w:rPr>
                          <w:sz w:val="18"/>
                          <w:szCs w:val="18"/>
                        </w:rPr>
                        <w:t xml:space="preserve">Figure </w:t>
                      </w:r>
                      <w:r>
                        <w:rPr>
                          <w:sz w:val="18"/>
                          <w:szCs w:val="18"/>
                        </w:rPr>
                        <w:t xml:space="preserve">11 </w:t>
                      </w:r>
                      <w:r w:rsidRPr="00846AC5">
                        <w:rPr>
                          <w:sz w:val="18"/>
                          <w:szCs w:val="18"/>
                        </w:rPr>
                        <w:t>–</w:t>
                      </w:r>
                      <w:r>
                        <w:rPr>
                          <w:sz w:val="18"/>
                          <w:szCs w:val="18"/>
                        </w:rPr>
                        <w:t>staff representation by age, 2018 - 2022</w:t>
                      </w:r>
                    </w:p>
                  </w:txbxContent>
                </v:textbox>
                <w10:wrap type="square" anchorx="page"/>
              </v:shape>
            </w:pict>
          </mc:Fallback>
        </mc:AlternateContent>
      </w:r>
      <w:r w:rsidRPr="00162932">
        <w:rPr>
          <w:rFonts w:ascii="Corbel" w:hAnsi="Corbel"/>
          <w:sz w:val="24"/>
          <w:szCs w:val="24"/>
        </w:rPr>
        <w:t>Between 2021 and 2022 there was a 0.8 percentage point drop in the number of academics aged between 41 and 50 to 27.9%, and a 0.5 percentage point increase in the proportion of academics aged between 31 and 40 to 28.4%.  All other age ranges show very similar representation to the previous year.  There were bigger fluctuations in the age profile in Professional Services - a 1.8 percentage point decrease in the proportion of staff aged 31 to 40 to 21.8%, and a 1.2 percentage point increase in the number of staff aged 41 to 50 to 28.2%.</w:t>
      </w:r>
    </w:p>
    <w:p w14:paraId="45C7C9F1" w14:textId="77777777" w:rsidR="00921A36" w:rsidRPr="00952E33" w:rsidRDefault="00921A36" w:rsidP="00921A36">
      <w:pPr>
        <w:rPr>
          <w:rFonts w:ascii="Corbel" w:hAnsi="Corbel"/>
          <w:color w:val="4472C4" w:themeColor="accent1"/>
        </w:rPr>
      </w:pPr>
      <w:r w:rsidRPr="00952E33">
        <w:rPr>
          <w:rFonts w:ascii="Corbel" w:hAnsi="Corbel"/>
          <w:noProof/>
          <w:color w:val="4472C4" w:themeColor="accent1"/>
        </w:rPr>
        <w:drawing>
          <wp:anchor distT="0" distB="0" distL="114300" distR="114300" simplePos="0" relativeHeight="251658256" behindDoc="0" locked="0" layoutInCell="1" allowOverlap="1" wp14:anchorId="5ADA92DD" wp14:editId="0E410C78">
            <wp:simplePos x="0" y="0"/>
            <wp:positionH relativeFrom="column">
              <wp:posOffset>3110865</wp:posOffset>
            </wp:positionH>
            <wp:positionV relativeFrom="paragraph">
              <wp:posOffset>3175</wp:posOffset>
            </wp:positionV>
            <wp:extent cx="2873375" cy="2100580"/>
            <wp:effectExtent l="0" t="0" r="3175" b="0"/>
            <wp:wrapSquare wrapText="bothSides"/>
            <wp:docPr id="24" name="Chart 24">
              <a:extLst xmlns:a="http://schemas.openxmlformats.org/drawingml/2006/main">
                <a:ext uri="{FF2B5EF4-FFF2-40B4-BE49-F238E27FC236}">
                  <a16:creationId xmlns:a16="http://schemas.microsoft.com/office/drawing/2014/main" id="{86061134-71BB-CCD4-2E2F-483F059ED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952E33">
        <w:rPr>
          <w:rFonts w:ascii="Corbel" w:hAnsi="Corbel"/>
          <w:color w:val="4472C4" w:themeColor="accent1"/>
        </w:rPr>
        <w:t>Religion and Belief</w:t>
      </w:r>
    </w:p>
    <w:p w14:paraId="0388FAB5" w14:textId="77777777" w:rsidR="00921A36" w:rsidRPr="00952E33" w:rsidRDefault="00921A36" w:rsidP="00952E33">
      <w:pPr>
        <w:rPr>
          <w:rFonts w:ascii="Corbel" w:hAnsi="Corbel"/>
          <w:sz w:val="24"/>
          <w:szCs w:val="24"/>
        </w:rPr>
      </w:pPr>
      <w:r w:rsidRPr="00952E33">
        <w:rPr>
          <w:rFonts w:ascii="Corbel" w:hAnsi="Corbel"/>
          <w:sz w:val="24"/>
          <w:szCs w:val="24"/>
        </w:rPr>
        <w:t>Representation of colleagues by religion or belief is reported here for the first time this year.</w:t>
      </w:r>
      <w:r w:rsidRPr="00952E33">
        <w:rPr>
          <w:rFonts w:ascii="Corbel" w:hAnsi="Corbel"/>
          <w:noProof/>
          <w:sz w:val="24"/>
          <w:szCs w:val="24"/>
        </w:rPr>
        <w:t xml:space="preserve"> At 37%, the proportion of staff who have a religion or belief was very similar to proportion who do not (36%).  18% of colleagues had not answered this question.</w:t>
      </w:r>
    </w:p>
    <w:p w14:paraId="4EF21A9F" w14:textId="77777777" w:rsidR="00921A36" w:rsidRPr="00952E33" w:rsidRDefault="00921A36" w:rsidP="001303EF">
      <w:pPr>
        <w:rPr>
          <w:rFonts w:ascii="Corbel" w:hAnsi="Corbel"/>
          <w:sz w:val="24"/>
          <w:szCs w:val="24"/>
        </w:rPr>
      </w:pPr>
      <w:r w:rsidRPr="00952E33">
        <w:rPr>
          <w:rFonts w:ascii="Corbel" w:hAnsi="Corbel"/>
          <w:noProof/>
          <w:sz w:val="24"/>
          <w:szCs w:val="24"/>
        </w:rPr>
        <mc:AlternateContent>
          <mc:Choice Requires="wps">
            <w:drawing>
              <wp:anchor distT="45720" distB="45720" distL="114300" distR="114300" simplePos="0" relativeHeight="251658257" behindDoc="0" locked="0" layoutInCell="1" allowOverlap="1" wp14:anchorId="70880572" wp14:editId="136E951B">
                <wp:simplePos x="0" y="0"/>
                <wp:positionH relativeFrom="page">
                  <wp:posOffset>3526790</wp:posOffset>
                </wp:positionH>
                <wp:positionV relativeFrom="paragraph">
                  <wp:posOffset>793115</wp:posOffset>
                </wp:positionV>
                <wp:extent cx="339598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404620"/>
                        </a:xfrm>
                        <a:prstGeom prst="rect">
                          <a:avLst/>
                        </a:prstGeom>
                        <a:noFill/>
                        <a:ln w="9525">
                          <a:noFill/>
                          <a:miter lim="800000"/>
                          <a:headEnd/>
                          <a:tailEnd/>
                        </a:ln>
                      </wps:spPr>
                      <wps:txbx>
                        <w:txbxContent>
                          <w:p w14:paraId="7EBBA937" w14:textId="77777777" w:rsidR="00921A36" w:rsidRPr="00846AC5" w:rsidRDefault="00921A36" w:rsidP="00921A36">
                            <w:pPr>
                              <w:jc w:val="right"/>
                              <w:rPr>
                                <w:sz w:val="18"/>
                                <w:szCs w:val="18"/>
                              </w:rPr>
                            </w:pPr>
                            <w:r w:rsidRPr="00846AC5">
                              <w:rPr>
                                <w:sz w:val="18"/>
                                <w:szCs w:val="18"/>
                              </w:rPr>
                              <w:t xml:space="preserve">Figure </w:t>
                            </w:r>
                            <w:r>
                              <w:rPr>
                                <w:sz w:val="18"/>
                                <w:szCs w:val="18"/>
                              </w:rPr>
                              <w:t xml:space="preserve">12 </w:t>
                            </w:r>
                            <w:r w:rsidRPr="00846AC5">
                              <w:rPr>
                                <w:sz w:val="18"/>
                                <w:szCs w:val="18"/>
                              </w:rPr>
                              <w:t>–</w:t>
                            </w:r>
                            <w:r>
                              <w:rPr>
                                <w:sz w:val="18"/>
                                <w:szCs w:val="18"/>
                              </w:rPr>
                              <w:t>staff representation by religion or belief,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80572" id="_x0000_s1037" type="#_x0000_t202" style="position:absolute;margin-left:277.7pt;margin-top:62.45pt;width:267.4pt;height:110.6pt;z-index:251658257;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" filled="f" stroked="f">
                <v:textbox style="mso-fit-shape-to-text:t">
                  <w:txbxContent>
                    <w:p w14:paraId="7EBBA937" w14:textId="77777777" w:rsidR="00921A36" w:rsidRPr="00846AC5" w:rsidRDefault="00921A36" w:rsidP="00921A36">
                      <w:pPr>
                        <w:jc w:val="right"/>
                        <w:rPr>
                          <w:sz w:val="18"/>
                          <w:szCs w:val="18"/>
                        </w:rPr>
                      </w:pPr>
                      <w:r w:rsidRPr="00846AC5">
                        <w:rPr>
                          <w:sz w:val="18"/>
                          <w:szCs w:val="18"/>
                        </w:rPr>
                        <w:t xml:space="preserve">Figure </w:t>
                      </w:r>
                      <w:r>
                        <w:rPr>
                          <w:sz w:val="18"/>
                          <w:szCs w:val="18"/>
                        </w:rPr>
                        <w:t xml:space="preserve">12 </w:t>
                      </w:r>
                      <w:r w:rsidRPr="00846AC5">
                        <w:rPr>
                          <w:sz w:val="18"/>
                          <w:szCs w:val="18"/>
                        </w:rPr>
                        <w:t>–</w:t>
                      </w:r>
                      <w:r>
                        <w:rPr>
                          <w:sz w:val="18"/>
                          <w:szCs w:val="18"/>
                        </w:rPr>
                        <w:t>staff representation by religion or belief, 2022</w:t>
                      </w:r>
                    </w:p>
                  </w:txbxContent>
                </v:textbox>
                <w10:wrap type="square" anchorx="page"/>
              </v:shape>
            </w:pict>
          </mc:Fallback>
        </mc:AlternateContent>
      </w:r>
      <w:r w:rsidRPr="00952E33">
        <w:rPr>
          <w:rFonts w:ascii="Corbel" w:hAnsi="Corbel"/>
          <w:sz w:val="24"/>
          <w:szCs w:val="24"/>
        </w:rPr>
        <w:t>The largest representation was of Christian colleagues (25.3%) followed by Muslim (3.4%), Hindu (2.3%), Spiritual (1.1%), Jewish (1%), Sikh (1%), Buddhist (0.7%) and any other religion or belief (0.8%).</w:t>
      </w:r>
    </w:p>
    <w:p w14:paraId="0D989365" w14:textId="136AC05E" w:rsidR="00921A36" w:rsidRPr="00952E33" w:rsidRDefault="00921A36" w:rsidP="00921A36">
      <w:pPr>
        <w:rPr>
          <w:rFonts w:ascii="Corbel" w:hAnsi="Corbel"/>
          <w:color w:val="4472C4" w:themeColor="accent1"/>
          <w:sz w:val="24"/>
          <w:szCs w:val="24"/>
        </w:rPr>
      </w:pPr>
      <w:r w:rsidRPr="00952E33">
        <w:rPr>
          <w:rFonts w:ascii="Corbel" w:hAnsi="Corbel"/>
          <w:color w:val="4472C4" w:themeColor="accent1"/>
          <w:sz w:val="24"/>
          <w:szCs w:val="24"/>
        </w:rPr>
        <w:t>Marital Status</w:t>
      </w:r>
    </w:p>
    <w:p w14:paraId="05439D1E" w14:textId="6EFCB964" w:rsidR="008F4EC9" w:rsidRDefault="00921A36" w:rsidP="00952E33">
      <w:pPr>
        <w:rPr>
          <w:rFonts w:ascii="Corbel" w:hAnsi="Corbel"/>
          <w:sz w:val="24"/>
          <w:szCs w:val="24"/>
        </w:rPr>
      </w:pPr>
      <w:r w:rsidRPr="00952E33">
        <w:rPr>
          <w:rFonts w:ascii="Corbel" w:hAnsi="Corbel"/>
          <w:sz w:val="24"/>
          <w:szCs w:val="24"/>
        </w:rPr>
        <w:t>Representation of colleagues by marital status is also reported here for the first time this year.  40% of colleagues have recorded that they are married, and 1% are in a Civil Partnership.  20.5% of staff have not answered this question.</w:t>
      </w:r>
    </w:p>
    <w:p w14:paraId="650E753C" w14:textId="76B47E66" w:rsidR="00464969" w:rsidRDefault="00464969">
      <w:pPr>
        <w:rPr>
          <w:rFonts w:ascii="Corbel" w:hAnsi="Corbel"/>
          <w:sz w:val="24"/>
          <w:szCs w:val="24"/>
        </w:rPr>
      </w:pPr>
      <w:r>
        <w:rPr>
          <w:rFonts w:ascii="Corbel" w:hAnsi="Corbel"/>
          <w:sz w:val="24"/>
          <w:szCs w:val="24"/>
        </w:rPr>
        <w:br w:type="page"/>
      </w:r>
    </w:p>
    <w:p w14:paraId="2049F153" w14:textId="5E9CE2A0" w:rsidR="0074075A" w:rsidRPr="00F9682F" w:rsidRDefault="00464969" w:rsidP="002E4243">
      <w:pPr>
        <w:pStyle w:val="ListParagraph"/>
        <w:numPr>
          <w:ilvl w:val="0"/>
          <w:numId w:val="28"/>
        </w:numPr>
        <w:rPr>
          <w:color w:val="4472C4" w:themeColor="accent1"/>
          <w:sz w:val="28"/>
          <w:szCs w:val="28"/>
        </w:rPr>
      </w:pPr>
      <w:r w:rsidRPr="00F9682F">
        <w:rPr>
          <w:color w:val="4472C4" w:themeColor="accent1"/>
          <w:sz w:val="28"/>
          <w:szCs w:val="28"/>
        </w:rPr>
        <w:lastRenderedPageBreak/>
        <w:t>Pay Gap Report Summary</w:t>
      </w:r>
    </w:p>
    <w:p w14:paraId="07915374" w14:textId="46B5DB6F" w:rsidR="00B41387" w:rsidRPr="00B41387" w:rsidRDefault="00B41387" w:rsidP="002E4243">
      <w:pPr>
        <w:spacing w:before="120"/>
        <w:rPr>
          <w:rFonts w:ascii="Corbel" w:hAnsi="Corbel"/>
          <w:sz w:val="24"/>
          <w:szCs w:val="24"/>
        </w:rPr>
      </w:pPr>
      <w:r w:rsidRPr="00B41387">
        <w:rPr>
          <w:rFonts w:ascii="Corbel" w:hAnsi="Corbel"/>
          <w:sz w:val="24"/>
          <w:szCs w:val="24"/>
        </w:rPr>
        <w:t xml:space="preserve">The Equality Act 2010 (Gender Pay Gap Information) Regulations 2017 introduced an annual duty on all employers with more than 250 staff to publish information relating to the gender pay gap - the difference between the average hourly pay of </w:t>
      </w:r>
      <w:r w:rsidR="00405D47">
        <w:rPr>
          <w:rFonts w:ascii="Corbel" w:hAnsi="Corbel"/>
          <w:sz w:val="24"/>
          <w:szCs w:val="24"/>
        </w:rPr>
        <w:t>male</w:t>
      </w:r>
      <w:r w:rsidRPr="00B41387">
        <w:rPr>
          <w:rFonts w:ascii="Corbel" w:hAnsi="Corbel"/>
          <w:sz w:val="24"/>
          <w:szCs w:val="24"/>
        </w:rPr>
        <w:t xml:space="preserve"> and </w:t>
      </w:r>
      <w:r w:rsidR="00405D47">
        <w:rPr>
          <w:rFonts w:ascii="Corbel" w:hAnsi="Corbel"/>
          <w:sz w:val="24"/>
          <w:szCs w:val="24"/>
        </w:rPr>
        <w:t>female</w:t>
      </w:r>
      <w:r w:rsidR="00315BD9">
        <w:rPr>
          <w:rFonts w:ascii="Corbel" w:hAnsi="Corbel"/>
          <w:sz w:val="24"/>
          <w:szCs w:val="24"/>
        </w:rPr>
        <w:t xml:space="preserve"> colleagues</w:t>
      </w:r>
      <w:r w:rsidRPr="00B41387">
        <w:rPr>
          <w:rFonts w:ascii="Corbel" w:hAnsi="Corbel"/>
          <w:sz w:val="24"/>
          <w:szCs w:val="24"/>
        </w:rPr>
        <w:t xml:space="preserve"> within the workforce. Information is required </w:t>
      </w:r>
      <w:r w:rsidR="00D64CF9">
        <w:rPr>
          <w:rFonts w:ascii="Corbel" w:hAnsi="Corbel"/>
          <w:sz w:val="24"/>
          <w:szCs w:val="24"/>
        </w:rPr>
        <w:t xml:space="preserve">each year </w:t>
      </w:r>
      <w:r w:rsidRPr="00B41387">
        <w:rPr>
          <w:rFonts w:ascii="Corbel" w:hAnsi="Corbel"/>
          <w:sz w:val="24"/>
          <w:szCs w:val="24"/>
        </w:rPr>
        <w:t>as of a snapshot date of 31 March.  Employers are also required to show the gender distribution for the workforce, divided into four pay quartiles.</w:t>
      </w:r>
    </w:p>
    <w:p w14:paraId="6D3B447B" w14:textId="03250848" w:rsidR="00B41387" w:rsidRDefault="00B41387" w:rsidP="002E4243">
      <w:pPr>
        <w:spacing w:before="120"/>
        <w:rPr>
          <w:rFonts w:ascii="Corbel" w:hAnsi="Corbel"/>
          <w:sz w:val="24"/>
          <w:szCs w:val="24"/>
        </w:rPr>
      </w:pPr>
      <w:r w:rsidRPr="00B41387">
        <w:rPr>
          <w:rFonts w:ascii="Corbel" w:hAnsi="Corbel"/>
          <w:sz w:val="24"/>
          <w:szCs w:val="24"/>
        </w:rPr>
        <w:t>The gender pay gap is a different measure to ’equal pay’ which refers to m</w:t>
      </w:r>
      <w:r w:rsidR="00205107">
        <w:rPr>
          <w:rFonts w:ascii="Corbel" w:hAnsi="Corbel"/>
          <w:sz w:val="24"/>
          <w:szCs w:val="24"/>
        </w:rPr>
        <w:t>ale</w:t>
      </w:r>
      <w:r w:rsidRPr="00B41387">
        <w:rPr>
          <w:rFonts w:ascii="Corbel" w:hAnsi="Corbel"/>
          <w:sz w:val="24"/>
          <w:szCs w:val="24"/>
        </w:rPr>
        <w:t xml:space="preserve"> and </w:t>
      </w:r>
      <w:r w:rsidR="00205107">
        <w:rPr>
          <w:rFonts w:ascii="Corbel" w:hAnsi="Corbel"/>
          <w:sz w:val="24"/>
          <w:szCs w:val="24"/>
        </w:rPr>
        <w:t>female colleagues</w:t>
      </w:r>
      <w:r w:rsidRPr="00B41387">
        <w:rPr>
          <w:rFonts w:ascii="Corbel" w:hAnsi="Corbel"/>
          <w:sz w:val="24"/>
          <w:szCs w:val="24"/>
        </w:rPr>
        <w:t xml:space="preserve"> in the same employment doing the same work receiving the same pay.  The gender pay gap highlights the gender distribution in different roles at the university.  It demonstrates that for Royal Holloway, there is a higher proportion of m</w:t>
      </w:r>
      <w:r w:rsidR="000834CB">
        <w:rPr>
          <w:rFonts w:ascii="Corbel" w:hAnsi="Corbel"/>
          <w:sz w:val="24"/>
          <w:szCs w:val="24"/>
        </w:rPr>
        <w:t>ales</w:t>
      </w:r>
      <w:r w:rsidRPr="00B41387">
        <w:rPr>
          <w:rFonts w:ascii="Corbel" w:hAnsi="Corbel"/>
          <w:sz w:val="24"/>
          <w:szCs w:val="24"/>
        </w:rPr>
        <w:t xml:space="preserve"> in higher paid roles than </w:t>
      </w:r>
      <w:r w:rsidR="000834CB">
        <w:rPr>
          <w:rFonts w:ascii="Corbel" w:hAnsi="Corbel"/>
          <w:sz w:val="24"/>
          <w:szCs w:val="24"/>
        </w:rPr>
        <w:t>females</w:t>
      </w:r>
      <w:r w:rsidRPr="00B41387">
        <w:rPr>
          <w:rFonts w:ascii="Corbel" w:hAnsi="Corbel"/>
          <w:sz w:val="24"/>
          <w:szCs w:val="24"/>
        </w:rPr>
        <w:t xml:space="preserve">, and a higher proportion of </w:t>
      </w:r>
      <w:r w:rsidR="000834CB">
        <w:rPr>
          <w:rFonts w:ascii="Corbel" w:hAnsi="Corbel"/>
          <w:sz w:val="24"/>
          <w:szCs w:val="24"/>
        </w:rPr>
        <w:t>females</w:t>
      </w:r>
      <w:r w:rsidRPr="00B41387">
        <w:rPr>
          <w:rFonts w:ascii="Corbel" w:hAnsi="Corbel"/>
          <w:sz w:val="24"/>
          <w:szCs w:val="24"/>
        </w:rPr>
        <w:t xml:space="preserve"> in lower paid roles than </w:t>
      </w:r>
      <w:r w:rsidR="000834CB">
        <w:rPr>
          <w:rFonts w:ascii="Corbel" w:hAnsi="Corbel"/>
          <w:sz w:val="24"/>
          <w:szCs w:val="24"/>
        </w:rPr>
        <w:t>males</w:t>
      </w:r>
      <w:r w:rsidRPr="00B41387">
        <w:rPr>
          <w:rFonts w:ascii="Corbel" w:hAnsi="Corbel"/>
          <w:sz w:val="24"/>
          <w:szCs w:val="24"/>
        </w:rPr>
        <w:t>.  It is this imbalance that produces the gender pay gap.</w:t>
      </w:r>
    </w:p>
    <w:p w14:paraId="4DDF2FA4" w14:textId="73BD7788" w:rsidR="00B41387" w:rsidRDefault="00B41387" w:rsidP="002E4243">
      <w:pPr>
        <w:jc w:val="both"/>
        <w:rPr>
          <w:rFonts w:ascii="Corbel" w:hAnsi="Corbel"/>
          <w:sz w:val="24"/>
          <w:szCs w:val="24"/>
        </w:rPr>
      </w:pPr>
      <w:r w:rsidRPr="00B41387">
        <w:rPr>
          <w:rFonts w:ascii="Corbel" w:hAnsi="Corbel"/>
          <w:sz w:val="24"/>
          <w:szCs w:val="24"/>
        </w:rPr>
        <w:t xml:space="preserve">Royal Holloway is committed to equality, diversity and inclusion, and to becoming an anti-racist university.  </w:t>
      </w:r>
      <w:r w:rsidR="004C0BD4" w:rsidRPr="003969BA">
        <w:rPr>
          <w:rFonts w:ascii="Corbel" w:hAnsi="Corbel"/>
          <w:sz w:val="24"/>
          <w:szCs w:val="24"/>
        </w:rPr>
        <w:t xml:space="preserve">Although not a mandatory requirement, </w:t>
      </w:r>
      <w:r w:rsidR="004C0BD4">
        <w:rPr>
          <w:rFonts w:ascii="Corbel" w:hAnsi="Corbel"/>
          <w:sz w:val="24"/>
          <w:szCs w:val="24"/>
        </w:rPr>
        <w:t>w</w:t>
      </w:r>
      <w:r w:rsidRPr="00B41387">
        <w:rPr>
          <w:rFonts w:ascii="Corbel" w:hAnsi="Corbel"/>
          <w:sz w:val="24"/>
          <w:szCs w:val="24"/>
        </w:rPr>
        <w:t xml:space="preserve">e also report our ethnicity and disability pay gaps, based on the same data and methodology as calculating the gender pay gaps.  </w:t>
      </w:r>
    </w:p>
    <w:p w14:paraId="5E240F45" w14:textId="36A06B51" w:rsidR="009B0B51" w:rsidRDefault="009B0B51" w:rsidP="002E4243">
      <w:pPr>
        <w:jc w:val="both"/>
        <w:rPr>
          <w:rFonts w:ascii="Corbel" w:hAnsi="Corbel"/>
          <w:sz w:val="24"/>
          <w:szCs w:val="24"/>
        </w:rPr>
      </w:pPr>
      <w:r w:rsidRPr="00223040">
        <w:rPr>
          <w:rFonts w:ascii="Corbel" w:hAnsi="Corbel"/>
          <w:sz w:val="24"/>
          <w:szCs w:val="24"/>
        </w:rPr>
        <w:t xml:space="preserve">For the purposes of mandatory reporting, these calculations include the whole workforce including those on hourly paid contracts.  </w:t>
      </w:r>
      <w:r w:rsidR="00E21F54">
        <w:rPr>
          <w:rFonts w:ascii="Corbel" w:hAnsi="Corbel"/>
          <w:sz w:val="24"/>
          <w:szCs w:val="24"/>
        </w:rPr>
        <w:t>Figure 13</w:t>
      </w:r>
      <w:r w:rsidR="00223040" w:rsidRPr="00223040">
        <w:rPr>
          <w:rFonts w:ascii="Corbel" w:hAnsi="Corbel"/>
          <w:sz w:val="24"/>
          <w:szCs w:val="24"/>
        </w:rPr>
        <w:t xml:space="preserve"> below</w:t>
      </w:r>
      <w:r w:rsidRPr="00223040">
        <w:rPr>
          <w:rFonts w:ascii="Corbel" w:hAnsi="Corbel"/>
          <w:sz w:val="24"/>
          <w:szCs w:val="24"/>
        </w:rPr>
        <w:t xml:space="preserve"> shows the staff numbers involved for each group.  Staff who prefer not to say </w:t>
      </w:r>
      <w:r w:rsidR="005F67D8">
        <w:rPr>
          <w:rFonts w:ascii="Corbel" w:hAnsi="Corbel"/>
          <w:sz w:val="24"/>
          <w:szCs w:val="24"/>
        </w:rPr>
        <w:t xml:space="preserve">have not been </w:t>
      </w:r>
      <w:r w:rsidRPr="00223040">
        <w:rPr>
          <w:rFonts w:ascii="Corbel" w:hAnsi="Corbel"/>
          <w:sz w:val="24"/>
          <w:szCs w:val="24"/>
        </w:rPr>
        <w:t>included within the calculations.</w:t>
      </w:r>
    </w:p>
    <w:p w14:paraId="7FCED144" w14:textId="2154EC02" w:rsidR="008B2C89" w:rsidRPr="00B41387" w:rsidRDefault="008B2C89" w:rsidP="002E4243">
      <w:pPr>
        <w:jc w:val="both"/>
        <w:rPr>
          <w:rFonts w:ascii="Corbel" w:hAnsi="Corbel"/>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34"/>
        <w:gridCol w:w="2273"/>
        <w:gridCol w:w="2693"/>
      </w:tblGrid>
      <w:tr w:rsidR="008E626A" w:rsidRPr="00F51154" w14:paraId="2A67A13E" w14:textId="77777777" w:rsidTr="008E626A">
        <w:trPr>
          <w:trHeight w:val="380"/>
        </w:trPr>
        <w:tc>
          <w:tcPr>
            <w:tcW w:w="3534" w:type="dxa"/>
            <w:tcBorders>
              <w:top w:val="nil"/>
              <w:left w:val="nil"/>
            </w:tcBorders>
            <w:shd w:val="clear" w:color="auto" w:fill="auto"/>
            <w:tcMar>
              <w:top w:w="72" w:type="dxa"/>
              <w:left w:w="144" w:type="dxa"/>
              <w:bottom w:w="72" w:type="dxa"/>
              <w:right w:w="144" w:type="dxa"/>
            </w:tcMar>
            <w:hideMark/>
          </w:tcPr>
          <w:p w14:paraId="070BF829" w14:textId="77777777" w:rsidR="00F51154" w:rsidRPr="00F51154" w:rsidRDefault="00F51154" w:rsidP="00F51154">
            <w:pPr>
              <w:spacing w:after="0" w:line="240" w:lineRule="auto"/>
              <w:jc w:val="both"/>
              <w:rPr>
                <w:rFonts w:ascii="Corbel" w:hAnsi="Corbel"/>
                <w:sz w:val="24"/>
                <w:szCs w:val="24"/>
              </w:rPr>
            </w:pPr>
          </w:p>
        </w:tc>
        <w:tc>
          <w:tcPr>
            <w:tcW w:w="2273" w:type="dxa"/>
            <w:shd w:val="clear" w:color="auto" w:fill="F7CAAC" w:themeFill="accent2" w:themeFillTint="66"/>
            <w:tcMar>
              <w:top w:w="72" w:type="dxa"/>
              <w:left w:w="144" w:type="dxa"/>
              <w:bottom w:w="72" w:type="dxa"/>
              <w:right w:w="144" w:type="dxa"/>
            </w:tcMar>
            <w:hideMark/>
          </w:tcPr>
          <w:p w14:paraId="713BED25"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b/>
                <w:bCs/>
                <w:sz w:val="24"/>
                <w:szCs w:val="24"/>
              </w:rPr>
              <w:t>2022</w:t>
            </w:r>
          </w:p>
        </w:tc>
        <w:tc>
          <w:tcPr>
            <w:tcW w:w="2693" w:type="dxa"/>
            <w:shd w:val="clear" w:color="auto" w:fill="F7CAAC" w:themeFill="accent2" w:themeFillTint="66"/>
            <w:tcMar>
              <w:top w:w="72" w:type="dxa"/>
              <w:left w:w="144" w:type="dxa"/>
              <w:bottom w:w="72" w:type="dxa"/>
              <w:right w:w="144" w:type="dxa"/>
            </w:tcMar>
            <w:hideMark/>
          </w:tcPr>
          <w:p w14:paraId="2305A3BF"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b/>
                <w:bCs/>
                <w:sz w:val="24"/>
                <w:szCs w:val="24"/>
              </w:rPr>
              <w:t>2021</w:t>
            </w:r>
          </w:p>
        </w:tc>
      </w:tr>
      <w:tr w:rsidR="008E626A" w:rsidRPr="00F51154" w14:paraId="5D7A4240" w14:textId="77777777" w:rsidTr="008E626A">
        <w:trPr>
          <w:trHeight w:val="271"/>
        </w:trPr>
        <w:tc>
          <w:tcPr>
            <w:tcW w:w="3534" w:type="dxa"/>
            <w:shd w:val="clear" w:color="auto" w:fill="auto"/>
            <w:tcMar>
              <w:top w:w="72" w:type="dxa"/>
              <w:left w:w="144" w:type="dxa"/>
              <w:bottom w:w="72" w:type="dxa"/>
              <w:right w:w="144" w:type="dxa"/>
            </w:tcMar>
            <w:hideMark/>
          </w:tcPr>
          <w:p w14:paraId="64A18C9B" w14:textId="77777777" w:rsidR="00F51154" w:rsidRPr="00F51154" w:rsidRDefault="00F51154" w:rsidP="00F51154">
            <w:pPr>
              <w:spacing w:after="0" w:line="240" w:lineRule="auto"/>
              <w:jc w:val="both"/>
              <w:rPr>
                <w:rFonts w:ascii="Corbel" w:hAnsi="Corbel"/>
                <w:sz w:val="24"/>
                <w:szCs w:val="24"/>
              </w:rPr>
            </w:pPr>
            <w:r w:rsidRPr="00F51154">
              <w:rPr>
                <w:rFonts w:ascii="Corbel" w:hAnsi="Corbel"/>
                <w:sz w:val="24"/>
                <w:szCs w:val="24"/>
              </w:rPr>
              <w:t>Female</w:t>
            </w:r>
          </w:p>
        </w:tc>
        <w:tc>
          <w:tcPr>
            <w:tcW w:w="2273" w:type="dxa"/>
            <w:shd w:val="clear" w:color="auto" w:fill="auto"/>
            <w:tcMar>
              <w:top w:w="72" w:type="dxa"/>
              <w:left w:w="144" w:type="dxa"/>
              <w:bottom w:w="72" w:type="dxa"/>
              <w:right w:w="144" w:type="dxa"/>
            </w:tcMar>
            <w:hideMark/>
          </w:tcPr>
          <w:p w14:paraId="249C0248"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1681</w:t>
            </w:r>
          </w:p>
        </w:tc>
        <w:tc>
          <w:tcPr>
            <w:tcW w:w="2693" w:type="dxa"/>
            <w:shd w:val="clear" w:color="auto" w:fill="auto"/>
            <w:tcMar>
              <w:top w:w="72" w:type="dxa"/>
              <w:left w:w="144" w:type="dxa"/>
              <w:bottom w:w="72" w:type="dxa"/>
              <w:right w:w="144" w:type="dxa"/>
            </w:tcMar>
            <w:hideMark/>
          </w:tcPr>
          <w:p w14:paraId="1010542F"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1503</w:t>
            </w:r>
          </w:p>
        </w:tc>
      </w:tr>
      <w:tr w:rsidR="008E626A" w:rsidRPr="00F51154" w14:paraId="57880156" w14:textId="77777777" w:rsidTr="008E626A">
        <w:trPr>
          <w:trHeight w:val="271"/>
        </w:trPr>
        <w:tc>
          <w:tcPr>
            <w:tcW w:w="3534" w:type="dxa"/>
            <w:shd w:val="clear" w:color="auto" w:fill="auto"/>
            <w:tcMar>
              <w:top w:w="72" w:type="dxa"/>
              <w:left w:w="144" w:type="dxa"/>
              <w:bottom w:w="72" w:type="dxa"/>
              <w:right w:w="144" w:type="dxa"/>
            </w:tcMar>
            <w:hideMark/>
          </w:tcPr>
          <w:p w14:paraId="364C6D6A" w14:textId="77777777" w:rsidR="00F51154" w:rsidRPr="00F51154" w:rsidRDefault="00F51154" w:rsidP="00F51154">
            <w:pPr>
              <w:spacing w:after="0" w:line="240" w:lineRule="auto"/>
              <w:jc w:val="both"/>
              <w:rPr>
                <w:rFonts w:ascii="Corbel" w:hAnsi="Corbel"/>
                <w:sz w:val="24"/>
                <w:szCs w:val="24"/>
              </w:rPr>
            </w:pPr>
            <w:r w:rsidRPr="00F51154">
              <w:rPr>
                <w:rFonts w:ascii="Corbel" w:hAnsi="Corbel"/>
                <w:sz w:val="24"/>
                <w:szCs w:val="24"/>
              </w:rPr>
              <w:t>Male</w:t>
            </w:r>
          </w:p>
        </w:tc>
        <w:tc>
          <w:tcPr>
            <w:tcW w:w="2273" w:type="dxa"/>
            <w:shd w:val="clear" w:color="auto" w:fill="auto"/>
            <w:tcMar>
              <w:top w:w="72" w:type="dxa"/>
              <w:left w:w="144" w:type="dxa"/>
              <w:bottom w:w="72" w:type="dxa"/>
              <w:right w:w="144" w:type="dxa"/>
            </w:tcMar>
            <w:hideMark/>
          </w:tcPr>
          <w:p w14:paraId="2D0E3F05"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1308</w:t>
            </w:r>
          </w:p>
        </w:tc>
        <w:tc>
          <w:tcPr>
            <w:tcW w:w="2693" w:type="dxa"/>
            <w:shd w:val="clear" w:color="auto" w:fill="auto"/>
            <w:tcMar>
              <w:top w:w="72" w:type="dxa"/>
              <w:left w:w="144" w:type="dxa"/>
              <w:bottom w:w="72" w:type="dxa"/>
              <w:right w:w="144" w:type="dxa"/>
            </w:tcMar>
            <w:hideMark/>
          </w:tcPr>
          <w:p w14:paraId="16946F8C"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1210</w:t>
            </w:r>
          </w:p>
        </w:tc>
      </w:tr>
      <w:tr w:rsidR="008E626A" w:rsidRPr="00F51154" w14:paraId="34A6FFE9" w14:textId="77777777" w:rsidTr="008E626A">
        <w:trPr>
          <w:trHeight w:val="271"/>
        </w:trPr>
        <w:tc>
          <w:tcPr>
            <w:tcW w:w="3534" w:type="dxa"/>
            <w:shd w:val="clear" w:color="auto" w:fill="auto"/>
            <w:tcMar>
              <w:top w:w="72" w:type="dxa"/>
              <w:left w:w="144" w:type="dxa"/>
              <w:bottom w:w="72" w:type="dxa"/>
              <w:right w:w="144" w:type="dxa"/>
            </w:tcMar>
            <w:hideMark/>
          </w:tcPr>
          <w:p w14:paraId="17A811EB" w14:textId="77777777" w:rsidR="00F51154" w:rsidRPr="00F51154" w:rsidRDefault="00F51154" w:rsidP="00F51154">
            <w:pPr>
              <w:spacing w:after="0" w:line="240" w:lineRule="auto"/>
              <w:jc w:val="both"/>
              <w:rPr>
                <w:rFonts w:ascii="Corbel" w:hAnsi="Corbel"/>
                <w:sz w:val="24"/>
                <w:szCs w:val="24"/>
              </w:rPr>
            </w:pPr>
            <w:r w:rsidRPr="00F51154">
              <w:rPr>
                <w:rFonts w:ascii="Corbel" w:hAnsi="Corbel"/>
                <w:sz w:val="24"/>
                <w:szCs w:val="24"/>
              </w:rPr>
              <w:t>Black and global majority</w:t>
            </w:r>
          </w:p>
        </w:tc>
        <w:tc>
          <w:tcPr>
            <w:tcW w:w="2273" w:type="dxa"/>
            <w:shd w:val="clear" w:color="auto" w:fill="auto"/>
            <w:tcMar>
              <w:top w:w="72" w:type="dxa"/>
              <w:left w:w="144" w:type="dxa"/>
              <w:bottom w:w="72" w:type="dxa"/>
              <w:right w:w="144" w:type="dxa"/>
            </w:tcMar>
            <w:hideMark/>
          </w:tcPr>
          <w:p w14:paraId="25C41766"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670</w:t>
            </w:r>
          </w:p>
        </w:tc>
        <w:tc>
          <w:tcPr>
            <w:tcW w:w="2693" w:type="dxa"/>
            <w:shd w:val="clear" w:color="auto" w:fill="auto"/>
            <w:tcMar>
              <w:top w:w="72" w:type="dxa"/>
              <w:left w:w="144" w:type="dxa"/>
              <w:bottom w:w="72" w:type="dxa"/>
              <w:right w:w="144" w:type="dxa"/>
            </w:tcMar>
            <w:hideMark/>
          </w:tcPr>
          <w:p w14:paraId="6EC27247"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523</w:t>
            </w:r>
          </w:p>
        </w:tc>
      </w:tr>
      <w:tr w:rsidR="008E626A" w:rsidRPr="00F51154" w14:paraId="1FE67BCA" w14:textId="77777777" w:rsidTr="008E626A">
        <w:trPr>
          <w:trHeight w:val="271"/>
        </w:trPr>
        <w:tc>
          <w:tcPr>
            <w:tcW w:w="3534" w:type="dxa"/>
            <w:shd w:val="clear" w:color="auto" w:fill="auto"/>
            <w:tcMar>
              <w:top w:w="72" w:type="dxa"/>
              <w:left w:w="144" w:type="dxa"/>
              <w:bottom w:w="72" w:type="dxa"/>
              <w:right w:w="144" w:type="dxa"/>
            </w:tcMar>
            <w:hideMark/>
          </w:tcPr>
          <w:p w14:paraId="05B459B3" w14:textId="77777777" w:rsidR="00F51154" w:rsidRPr="00F51154" w:rsidRDefault="00F51154" w:rsidP="00F51154">
            <w:pPr>
              <w:spacing w:after="0" w:line="240" w:lineRule="auto"/>
              <w:jc w:val="both"/>
              <w:rPr>
                <w:rFonts w:ascii="Corbel" w:hAnsi="Corbel"/>
                <w:sz w:val="24"/>
                <w:szCs w:val="24"/>
              </w:rPr>
            </w:pPr>
            <w:r w:rsidRPr="00F51154">
              <w:rPr>
                <w:rFonts w:ascii="Corbel" w:hAnsi="Corbel"/>
                <w:sz w:val="24"/>
                <w:szCs w:val="24"/>
              </w:rPr>
              <w:t>White</w:t>
            </w:r>
          </w:p>
        </w:tc>
        <w:tc>
          <w:tcPr>
            <w:tcW w:w="2273" w:type="dxa"/>
            <w:shd w:val="clear" w:color="auto" w:fill="auto"/>
            <w:tcMar>
              <w:top w:w="72" w:type="dxa"/>
              <w:left w:w="144" w:type="dxa"/>
              <w:bottom w:w="72" w:type="dxa"/>
              <w:right w:w="144" w:type="dxa"/>
            </w:tcMar>
            <w:hideMark/>
          </w:tcPr>
          <w:p w14:paraId="72E1E983"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2196</w:t>
            </w:r>
          </w:p>
        </w:tc>
        <w:tc>
          <w:tcPr>
            <w:tcW w:w="2693" w:type="dxa"/>
            <w:shd w:val="clear" w:color="auto" w:fill="auto"/>
            <w:tcMar>
              <w:top w:w="72" w:type="dxa"/>
              <w:left w:w="144" w:type="dxa"/>
              <w:bottom w:w="72" w:type="dxa"/>
              <w:right w:w="144" w:type="dxa"/>
            </w:tcMar>
            <w:hideMark/>
          </w:tcPr>
          <w:p w14:paraId="5FC83D59"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2079</w:t>
            </w:r>
          </w:p>
        </w:tc>
      </w:tr>
      <w:tr w:rsidR="008E626A" w:rsidRPr="00F51154" w14:paraId="2B087C19" w14:textId="77777777" w:rsidTr="008E626A">
        <w:trPr>
          <w:trHeight w:val="271"/>
        </w:trPr>
        <w:tc>
          <w:tcPr>
            <w:tcW w:w="3534" w:type="dxa"/>
            <w:shd w:val="clear" w:color="auto" w:fill="auto"/>
            <w:tcMar>
              <w:top w:w="72" w:type="dxa"/>
              <w:left w:w="144" w:type="dxa"/>
              <w:bottom w:w="72" w:type="dxa"/>
              <w:right w:w="144" w:type="dxa"/>
            </w:tcMar>
            <w:hideMark/>
          </w:tcPr>
          <w:p w14:paraId="6827C2E8" w14:textId="77777777" w:rsidR="00F51154" w:rsidRPr="00F51154" w:rsidRDefault="00F51154" w:rsidP="00F51154">
            <w:pPr>
              <w:spacing w:after="0" w:line="240" w:lineRule="auto"/>
              <w:jc w:val="both"/>
              <w:rPr>
                <w:rFonts w:ascii="Corbel" w:hAnsi="Corbel"/>
                <w:sz w:val="24"/>
                <w:szCs w:val="24"/>
              </w:rPr>
            </w:pPr>
            <w:r w:rsidRPr="00F51154">
              <w:rPr>
                <w:rFonts w:ascii="Corbel" w:hAnsi="Corbel"/>
                <w:sz w:val="24"/>
                <w:szCs w:val="24"/>
              </w:rPr>
              <w:t>Disabled</w:t>
            </w:r>
          </w:p>
        </w:tc>
        <w:tc>
          <w:tcPr>
            <w:tcW w:w="2273" w:type="dxa"/>
            <w:shd w:val="clear" w:color="auto" w:fill="auto"/>
            <w:tcMar>
              <w:top w:w="72" w:type="dxa"/>
              <w:left w:w="144" w:type="dxa"/>
              <w:bottom w:w="72" w:type="dxa"/>
              <w:right w:w="144" w:type="dxa"/>
            </w:tcMar>
            <w:hideMark/>
          </w:tcPr>
          <w:p w14:paraId="586D25E8"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187</w:t>
            </w:r>
          </w:p>
        </w:tc>
        <w:tc>
          <w:tcPr>
            <w:tcW w:w="2693" w:type="dxa"/>
            <w:shd w:val="clear" w:color="auto" w:fill="auto"/>
            <w:tcMar>
              <w:top w:w="72" w:type="dxa"/>
              <w:left w:w="144" w:type="dxa"/>
              <w:bottom w:w="72" w:type="dxa"/>
              <w:right w:w="144" w:type="dxa"/>
            </w:tcMar>
            <w:hideMark/>
          </w:tcPr>
          <w:p w14:paraId="6E541723"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140</w:t>
            </w:r>
          </w:p>
        </w:tc>
      </w:tr>
      <w:tr w:rsidR="008E626A" w:rsidRPr="00F51154" w14:paraId="2864FFF9" w14:textId="77777777" w:rsidTr="008E626A">
        <w:trPr>
          <w:trHeight w:val="271"/>
        </w:trPr>
        <w:tc>
          <w:tcPr>
            <w:tcW w:w="3534" w:type="dxa"/>
            <w:shd w:val="clear" w:color="auto" w:fill="auto"/>
            <w:tcMar>
              <w:top w:w="72" w:type="dxa"/>
              <w:left w:w="144" w:type="dxa"/>
              <w:bottom w:w="72" w:type="dxa"/>
              <w:right w:w="144" w:type="dxa"/>
            </w:tcMar>
            <w:hideMark/>
          </w:tcPr>
          <w:p w14:paraId="7F8D9196" w14:textId="77777777" w:rsidR="00F51154" w:rsidRPr="00F51154" w:rsidRDefault="00F51154" w:rsidP="00F51154">
            <w:pPr>
              <w:spacing w:after="0" w:line="240" w:lineRule="auto"/>
              <w:jc w:val="both"/>
              <w:rPr>
                <w:rFonts w:ascii="Corbel" w:hAnsi="Corbel"/>
                <w:sz w:val="24"/>
                <w:szCs w:val="24"/>
              </w:rPr>
            </w:pPr>
            <w:r w:rsidRPr="00F51154">
              <w:rPr>
                <w:rFonts w:ascii="Corbel" w:hAnsi="Corbel"/>
                <w:sz w:val="24"/>
                <w:szCs w:val="24"/>
              </w:rPr>
              <w:t>Non-disabled</w:t>
            </w:r>
          </w:p>
        </w:tc>
        <w:tc>
          <w:tcPr>
            <w:tcW w:w="2273" w:type="dxa"/>
            <w:shd w:val="clear" w:color="auto" w:fill="auto"/>
            <w:tcMar>
              <w:top w:w="72" w:type="dxa"/>
              <w:left w:w="144" w:type="dxa"/>
              <w:bottom w:w="72" w:type="dxa"/>
              <w:right w:w="144" w:type="dxa"/>
            </w:tcMar>
            <w:hideMark/>
          </w:tcPr>
          <w:p w14:paraId="751724C5"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2738</w:t>
            </w:r>
          </w:p>
        </w:tc>
        <w:tc>
          <w:tcPr>
            <w:tcW w:w="2693" w:type="dxa"/>
            <w:shd w:val="clear" w:color="auto" w:fill="auto"/>
            <w:tcMar>
              <w:top w:w="72" w:type="dxa"/>
              <w:left w:w="144" w:type="dxa"/>
              <w:bottom w:w="72" w:type="dxa"/>
              <w:right w:w="144" w:type="dxa"/>
            </w:tcMar>
            <w:hideMark/>
          </w:tcPr>
          <w:p w14:paraId="13EA8E62" w14:textId="77777777" w:rsidR="00F51154" w:rsidRPr="00F51154" w:rsidRDefault="00F51154" w:rsidP="008E626A">
            <w:pPr>
              <w:spacing w:after="0" w:line="240" w:lineRule="auto"/>
              <w:jc w:val="center"/>
              <w:rPr>
                <w:rFonts w:ascii="Corbel" w:hAnsi="Corbel"/>
                <w:sz w:val="24"/>
                <w:szCs w:val="24"/>
              </w:rPr>
            </w:pPr>
            <w:r w:rsidRPr="00F51154">
              <w:rPr>
                <w:rFonts w:ascii="Corbel" w:hAnsi="Corbel"/>
                <w:sz w:val="24"/>
                <w:szCs w:val="24"/>
              </w:rPr>
              <w:t>2530</w:t>
            </w:r>
          </w:p>
        </w:tc>
      </w:tr>
    </w:tbl>
    <w:p w14:paraId="3CDD7BCE" w14:textId="20FE3CC8" w:rsidR="00223040" w:rsidRDefault="00E21F54" w:rsidP="00B41387">
      <w:pPr>
        <w:spacing w:after="0" w:line="240" w:lineRule="auto"/>
        <w:jc w:val="both"/>
        <w:rPr>
          <w:rFonts w:ascii="Corbel" w:hAnsi="Corbel"/>
        </w:rPr>
      </w:pPr>
      <w:r w:rsidRPr="00952E33">
        <w:rPr>
          <w:rFonts w:ascii="Corbel" w:hAnsi="Corbel"/>
          <w:noProof/>
          <w:sz w:val="24"/>
          <w:szCs w:val="24"/>
        </w:rPr>
        <mc:AlternateContent>
          <mc:Choice Requires="wps">
            <w:drawing>
              <wp:anchor distT="45720" distB="45720" distL="114300" distR="114300" simplePos="0" relativeHeight="251664402" behindDoc="0" locked="0" layoutInCell="1" allowOverlap="1" wp14:anchorId="0B738633" wp14:editId="0050A8D2">
                <wp:simplePos x="0" y="0"/>
                <wp:positionH relativeFrom="page">
                  <wp:posOffset>2867025</wp:posOffset>
                </wp:positionH>
                <wp:positionV relativeFrom="paragraph">
                  <wp:posOffset>111760</wp:posOffset>
                </wp:positionV>
                <wp:extent cx="339598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404620"/>
                        </a:xfrm>
                        <a:prstGeom prst="rect">
                          <a:avLst/>
                        </a:prstGeom>
                        <a:noFill/>
                        <a:ln w="9525">
                          <a:noFill/>
                          <a:miter lim="800000"/>
                          <a:headEnd/>
                          <a:tailEnd/>
                        </a:ln>
                      </wps:spPr>
                      <wps:txbx>
                        <w:txbxContent>
                          <w:p w14:paraId="42389181" w14:textId="21CC5D44" w:rsidR="00E21F54" w:rsidRPr="00846AC5" w:rsidRDefault="00E21F54" w:rsidP="00E21F54">
                            <w:pPr>
                              <w:spacing w:after="0" w:line="240" w:lineRule="auto"/>
                              <w:jc w:val="right"/>
                              <w:rPr>
                                <w:sz w:val="18"/>
                                <w:szCs w:val="18"/>
                              </w:rPr>
                            </w:pPr>
                            <w:r w:rsidRPr="00846AC5">
                              <w:rPr>
                                <w:sz w:val="18"/>
                                <w:szCs w:val="18"/>
                              </w:rPr>
                              <w:t xml:space="preserve">Figure </w:t>
                            </w:r>
                            <w:r>
                              <w:rPr>
                                <w:sz w:val="18"/>
                                <w:szCs w:val="18"/>
                              </w:rPr>
                              <w:t xml:space="preserve">13 </w:t>
                            </w:r>
                            <w:r w:rsidRPr="00846AC5">
                              <w:rPr>
                                <w:sz w:val="18"/>
                                <w:szCs w:val="18"/>
                              </w:rPr>
                              <w:t>–</w:t>
                            </w:r>
                            <w:r>
                              <w:rPr>
                                <w:sz w:val="18"/>
                                <w:szCs w:val="18"/>
                              </w:rPr>
                              <w:t>staff numbers in pay gap reports, 31 March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38633" id="_x0000_s1038" type="#_x0000_t202" style="position:absolute;left:0;text-align:left;margin-left:225.75pt;margin-top:8.8pt;width:267.4pt;height:110.6pt;z-index:25166440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" filled="f" stroked="f">
                <v:textbox style="mso-fit-shape-to-text:t">
                  <w:txbxContent>
                    <w:p w14:paraId="42389181" w14:textId="21CC5D44" w:rsidR="00E21F54" w:rsidRPr="00846AC5" w:rsidRDefault="00E21F54" w:rsidP="00E21F54">
                      <w:pPr>
                        <w:spacing w:after="0" w:line="240" w:lineRule="auto"/>
                        <w:jc w:val="right"/>
                        <w:rPr>
                          <w:sz w:val="18"/>
                          <w:szCs w:val="18"/>
                        </w:rPr>
                      </w:pPr>
                      <w:r w:rsidRPr="00846AC5">
                        <w:rPr>
                          <w:sz w:val="18"/>
                          <w:szCs w:val="18"/>
                        </w:rPr>
                        <w:t xml:space="preserve">Figure </w:t>
                      </w:r>
                      <w:r>
                        <w:rPr>
                          <w:sz w:val="18"/>
                          <w:szCs w:val="18"/>
                        </w:rPr>
                        <w:t xml:space="preserve">13 </w:t>
                      </w:r>
                      <w:r w:rsidRPr="00846AC5">
                        <w:rPr>
                          <w:sz w:val="18"/>
                          <w:szCs w:val="18"/>
                        </w:rPr>
                        <w:t>–</w:t>
                      </w:r>
                      <w:r>
                        <w:rPr>
                          <w:sz w:val="18"/>
                          <w:szCs w:val="18"/>
                        </w:rPr>
                        <w:t>staff numbers in pay gap reports, 31 March 2022</w:t>
                      </w:r>
                    </w:p>
                  </w:txbxContent>
                </v:textbox>
                <w10:wrap type="square" anchorx="page"/>
              </v:shape>
            </w:pict>
          </mc:Fallback>
        </mc:AlternateContent>
      </w:r>
    </w:p>
    <w:p w14:paraId="07ABC4F1" w14:textId="5FAD9371" w:rsidR="00223040" w:rsidRDefault="00223040" w:rsidP="00B41387">
      <w:pPr>
        <w:spacing w:after="0" w:line="240" w:lineRule="auto"/>
        <w:jc w:val="both"/>
        <w:rPr>
          <w:rFonts w:ascii="Corbel" w:hAnsi="Corbel"/>
        </w:rPr>
      </w:pPr>
    </w:p>
    <w:p w14:paraId="132F994B" w14:textId="309E5D51" w:rsidR="0074075A" w:rsidRPr="00807FE7" w:rsidRDefault="00807FE7" w:rsidP="00315BD9">
      <w:pPr>
        <w:tabs>
          <w:tab w:val="num" w:pos="426"/>
        </w:tabs>
        <w:ind w:left="360" w:hanging="360"/>
        <w:rPr>
          <w:rFonts w:ascii="Corbel" w:hAnsi="Corbel"/>
          <w:color w:val="4472C4" w:themeColor="accent1"/>
          <w:sz w:val="24"/>
          <w:szCs w:val="24"/>
        </w:rPr>
      </w:pPr>
      <w:r w:rsidRPr="00807FE7">
        <w:rPr>
          <w:rFonts w:ascii="Corbel" w:hAnsi="Corbel"/>
          <w:color w:val="4472C4" w:themeColor="accent1"/>
          <w:sz w:val="24"/>
          <w:szCs w:val="24"/>
        </w:rPr>
        <w:t>Mean pay gap</w:t>
      </w:r>
    </w:p>
    <w:p w14:paraId="48EC8F2A" w14:textId="26DAE829" w:rsidR="00235141" w:rsidRDefault="00970048" w:rsidP="00890B77">
      <w:pPr>
        <w:rPr>
          <w:rFonts w:ascii="Corbel" w:hAnsi="Corbel"/>
          <w:sz w:val="24"/>
          <w:szCs w:val="24"/>
        </w:rPr>
      </w:pPr>
      <w:r>
        <w:rPr>
          <w:rFonts w:ascii="Corbel" w:hAnsi="Corbel"/>
          <w:sz w:val="24"/>
          <w:szCs w:val="24"/>
        </w:rPr>
        <w:t>The</w:t>
      </w:r>
      <w:r w:rsidR="0074075A" w:rsidRPr="003969BA">
        <w:rPr>
          <w:rFonts w:ascii="Corbel" w:hAnsi="Corbel"/>
          <w:sz w:val="24"/>
          <w:szCs w:val="24"/>
        </w:rPr>
        <w:t xml:space="preserve"> mean pay </w:t>
      </w:r>
      <w:r w:rsidR="008535E7">
        <w:rPr>
          <w:rFonts w:ascii="Corbel" w:hAnsi="Corbel"/>
          <w:sz w:val="24"/>
          <w:szCs w:val="24"/>
        </w:rPr>
        <w:t>rate</w:t>
      </w:r>
      <w:r w:rsidR="0074075A" w:rsidRPr="003969BA">
        <w:rPr>
          <w:rFonts w:ascii="Corbel" w:hAnsi="Corbel"/>
          <w:sz w:val="24"/>
          <w:szCs w:val="24"/>
        </w:rPr>
        <w:t xml:space="preserve"> (</w:t>
      </w:r>
      <w:r w:rsidR="00235141">
        <w:rPr>
          <w:rFonts w:ascii="Corbel" w:hAnsi="Corbel"/>
          <w:sz w:val="24"/>
          <w:szCs w:val="24"/>
        </w:rPr>
        <w:t xml:space="preserve">or </w:t>
      </w:r>
      <w:r w:rsidR="0074075A" w:rsidRPr="003969BA">
        <w:rPr>
          <w:rFonts w:ascii="Corbel" w:hAnsi="Corbel"/>
          <w:sz w:val="24"/>
          <w:szCs w:val="24"/>
        </w:rPr>
        <w:t xml:space="preserve">average) </w:t>
      </w:r>
      <w:r w:rsidR="00034ECA">
        <w:rPr>
          <w:rFonts w:ascii="Corbel" w:hAnsi="Corbel"/>
          <w:sz w:val="24"/>
          <w:szCs w:val="24"/>
        </w:rPr>
        <w:t xml:space="preserve">is calculated by adding up the hourly rates of all colleagues and dividing the figure by the number of colleagues.  </w:t>
      </w:r>
      <w:r w:rsidR="00740D1A">
        <w:rPr>
          <w:rFonts w:ascii="Corbel" w:hAnsi="Corbel"/>
          <w:sz w:val="24"/>
          <w:szCs w:val="24"/>
        </w:rPr>
        <w:t xml:space="preserve">The mean pay gap </w:t>
      </w:r>
      <w:r w:rsidR="00235141">
        <w:rPr>
          <w:rFonts w:ascii="Corbel" w:hAnsi="Corbel"/>
          <w:sz w:val="24"/>
          <w:szCs w:val="24"/>
        </w:rPr>
        <w:t xml:space="preserve">is the </w:t>
      </w:r>
      <w:r w:rsidR="007469F1">
        <w:rPr>
          <w:rFonts w:ascii="Corbel" w:hAnsi="Corbel"/>
          <w:sz w:val="24"/>
          <w:szCs w:val="24"/>
        </w:rPr>
        <w:t xml:space="preserve">percentage </w:t>
      </w:r>
      <w:r w:rsidR="00235141">
        <w:rPr>
          <w:rFonts w:ascii="Corbel" w:hAnsi="Corbel"/>
          <w:sz w:val="24"/>
          <w:szCs w:val="24"/>
        </w:rPr>
        <w:t xml:space="preserve">difference between the mean pay of female and male colleagues.  </w:t>
      </w:r>
    </w:p>
    <w:p w14:paraId="632DED98" w14:textId="280A6E49" w:rsidR="00235141" w:rsidRPr="00235141" w:rsidRDefault="00235141" w:rsidP="00890B77">
      <w:pPr>
        <w:rPr>
          <w:rFonts w:ascii="Corbel" w:hAnsi="Corbel"/>
          <w:color w:val="4472C4" w:themeColor="accent1"/>
          <w:sz w:val="24"/>
          <w:szCs w:val="24"/>
        </w:rPr>
      </w:pPr>
      <w:r w:rsidRPr="00235141">
        <w:rPr>
          <w:rFonts w:ascii="Corbel" w:hAnsi="Corbel"/>
          <w:color w:val="4472C4" w:themeColor="accent1"/>
          <w:sz w:val="24"/>
          <w:szCs w:val="24"/>
        </w:rPr>
        <w:t>Median pay gap</w:t>
      </w:r>
    </w:p>
    <w:p w14:paraId="24188859" w14:textId="512571AC" w:rsidR="0074075A" w:rsidRPr="003969BA" w:rsidRDefault="00235141" w:rsidP="00890B77">
      <w:pPr>
        <w:rPr>
          <w:rFonts w:ascii="Corbel" w:hAnsi="Corbel"/>
          <w:sz w:val="24"/>
          <w:szCs w:val="24"/>
        </w:rPr>
      </w:pPr>
      <w:r>
        <w:rPr>
          <w:rFonts w:ascii="Corbel" w:hAnsi="Corbel"/>
          <w:sz w:val="24"/>
          <w:szCs w:val="24"/>
        </w:rPr>
        <w:t>T</w:t>
      </w:r>
      <w:r w:rsidR="0074075A" w:rsidRPr="003969BA">
        <w:rPr>
          <w:rFonts w:ascii="Corbel" w:hAnsi="Corbel"/>
          <w:sz w:val="24"/>
          <w:szCs w:val="24"/>
        </w:rPr>
        <w:t>he median pay gap (</w:t>
      </w:r>
      <w:r>
        <w:rPr>
          <w:rFonts w:ascii="Corbel" w:hAnsi="Corbel"/>
          <w:sz w:val="24"/>
          <w:szCs w:val="24"/>
        </w:rPr>
        <w:t xml:space="preserve">or </w:t>
      </w:r>
      <w:r w:rsidR="0074075A" w:rsidRPr="003969BA">
        <w:rPr>
          <w:rFonts w:ascii="Corbel" w:hAnsi="Corbel"/>
          <w:sz w:val="24"/>
          <w:szCs w:val="24"/>
        </w:rPr>
        <w:t>midpoint)</w:t>
      </w:r>
      <w:r w:rsidR="002E6593">
        <w:rPr>
          <w:rFonts w:ascii="Corbel" w:hAnsi="Corbel"/>
          <w:sz w:val="24"/>
          <w:szCs w:val="24"/>
        </w:rPr>
        <w:t xml:space="preserve"> is the figure that falls in the middle of a range</w:t>
      </w:r>
      <w:r w:rsidR="009536BB">
        <w:rPr>
          <w:rFonts w:ascii="Corbel" w:hAnsi="Corbel"/>
          <w:sz w:val="24"/>
          <w:szCs w:val="24"/>
        </w:rPr>
        <w:t xml:space="preserve">, so if all the hourly rates are lined up from smallest to largest, the median pay is the one that </w:t>
      </w:r>
      <w:r w:rsidR="00B867E4">
        <w:rPr>
          <w:rFonts w:ascii="Corbel" w:hAnsi="Corbel"/>
          <w:sz w:val="24"/>
          <w:szCs w:val="24"/>
        </w:rPr>
        <w:t xml:space="preserve">falls in </w:t>
      </w:r>
      <w:r w:rsidR="00B867E4">
        <w:rPr>
          <w:rFonts w:ascii="Corbel" w:hAnsi="Corbel"/>
          <w:sz w:val="24"/>
          <w:szCs w:val="24"/>
        </w:rPr>
        <w:lastRenderedPageBreak/>
        <w:t xml:space="preserve">the middle.  The median </w:t>
      </w:r>
      <w:r w:rsidR="00A975FA">
        <w:rPr>
          <w:rFonts w:ascii="Corbel" w:hAnsi="Corbel"/>
          <w:sz w:val="24"/>
          <w:szCs w:val="24"/>
        </w:rPr>
        <w:t xml:space="preserve">gender pay </w:t>
      </w:r>
      <w:r w:rsidR="00B867E4">
        <w:rPr>
          <w:rFonts w:ascii="Corbel" w:hAnsi="Corbel"/>
          <w:sz w:val="24"/>
          <w:szCs w:val="24"/>
        </w:rPr>
        <w:t xml:space="preserve">gap is the difference between the median hourly pay of </w:t>
      </w:r>
      <w:r w:rsidR="00794FBD">
        <w:rPr>
          <w:rFonts w:ascii="Corbel" w:hAnsi="Corbel"/>
          <w:sz w:val="24"/>
          <w:szCs w:val="24"/>
        </w:rPr>
        <w:t>female and male colleagues.</w:t>
      </w:r>
      <w:r w:rsidR="0074075A" w:rsidRPr="003969BA">
        <w:rPr>
          <w:rFonts w:ascii="Corbel" w:hAnsi="Corbel"/>
          <w:sz w:val="24"/>
          <w:szCs w:val="24"/>
        </w:rPr>
        <w:t xml:space="preserve"> </w:t>
      </w:r>
    </w:p>
    <w:p w14:paraId="3D769A4D" w14:textId="28D85FF0" w:rsidR="0074075A" w:rsidRPr="00985897" w:rsidRDefault="00985897" w:rsidP="00890B77">
      <w:pPr>
        <w:rPr>
          <w:rFonts w:ascii="Corbel" w:hAnsi="Corbel"/>
          <w:sz w:val="24"/>
          <w:szCs w:val="24"/>
        </w:rPr>
      </w:pPr>
      <w:r w:rsidRPr="00985897">
        <w:rPr>
          <w:rFonts w:ascii="Corbel" w:hAnsi="Corbel"/>
          <w:color w:val="4472C4" w:themeColor="accent1"/>
          <w:sz w:val="24"/>
          <w:szCs w:val="24"/>
        </w:rPr>
        <w:t>Gender Pay Gaps</w:t>
      </w:r>
      <w:r>
        <w:rPr>
          <w:rFonts w:ascii="Corbel" w:hAnsi="Corbel"/>
          <w:sz w:val="24"/>
          <w:szCs w:val="24"/>
        </w:rPr>
        <w:t xml:space="preserve"> </w:t>
      </w:r>
    </w:p>
    <w:p w14:paraId="5A5EBA8C" w14:textId="0530F6D9" w:rsidR="0046055F" w:rsidRDefault="00E90387" w:rsidP="00890B77">
      <w:pPr>
        <w:rPr>
          <w:rFonts w:ascii="Corbel" w:hAnsi="Corbel"/>
          <w:sz w:val="24"/>
          <w:szCs w:val="24"/>
        </w:rPr>
      </w:pPr>
      <w:r>
        <w:rPr>
          <w:rFonts w:ascii="Corbel" w:hAnsi="Corbel"/>
          <w:sz w:val="24"/>
          <w:szCs w:val="24"/>
        </w:rPr>
        <w:t>Figure 13</w:t>
      </w:r>
      <w:r w:rsidR="00247D83">
        <w:rPr>
          <w:rFonts w:ascii="Corbel" w:hAnsi="Corbel"/>
          <w:sz w:val="24"/>
          <w:szCs w:val="24"/>
        </w:rPr>
        <w:t xml:space="preserve"> below shows the gender pay gaps as at 31 March 2022, </w:t>
      </w:r>
      <w:r w:rsidR="00340277">
        <w:rPr>
          <w:rFonts w:ascii="Corbel" w:hAnsi="Corbel"/>
          <w:sz w:val="24"/>
          <w:szCs w:val="24"/>
        </w:rPr>
        <w:t>and the change in these gaps since March 2018.</w:t>
      </w:r>
    </w:p>
    <w:tbl>
      <w:tblPr>
        <w:tblW w:w="9072" w:type="dxa"/>
        <w:tblLook w:val="04A0" w:firstRow="1" w:lastRow="0" w:firstColumn="1" w:lastColumn="0" w:noHBand="0" w:noVBand="1"/>
      </w:tblPr>
      <w:tblGrid>
        <w:gridCol w:w="2260"/>
        <w:gridCol w:w="1362"/>
        <w:gridCol w:w="1362"/>
        <w:gridCol w:w="1363"/>
        <w:gridCol w:w="1362"/>
        <w:gridCol w:w="1363"/>
      </w:tblGrid>
      <w:tr w:rsidR="006B395D" w:rsidRPr="006B395D" w14:paraId="54143EEF" w14:textId="77777777" w:rsidTr="006B395D">
        <w:trPr>
          <w:trHeight w:val="290"/>
        </w:trPr>
        <w:tc>
          <w:tcPr>
            <w:tcW w:w="2260" w:type="dxa"/>
            <w:vMerge w:val="restart"/>
            <w:tcBorders>
              <w:top w:val="nil"/>
              <w:left w:val="nil"/>
              <w:bottom w:val="single" w:sz="4" w:space="0" w:color="auto"/>
              <w:right w:val="single" w:sz="4" w:space="0" w:color="auto"/>
            </w:tcBorders>
            <w:shd w:val="clear" w:color="auto" w:fill="auto"/>
            <w:vAlign w:val="bottom"/>
            <w:hideMark/>
          </w:tcPr>
          <w:p w14:paraId="674454E1" w14:textId="77777777" w:rsidR="006B395D" w:rsidRPr="006B395D" w:rsidRDefault="006B395D" w:rsidP="006B395D">
            <w:pPr>
              <w:spacing w:after="0" w:line="240" w:lineRule="auto"/>
              <w:rPr>
                <w:rFonts w:ascii="Arial" w:eastAsia="Times New Roman" w:hAnsi="Arial" w:cs="Arial"/>
                <w:sz w:val="24"/>
                <w:szCs w:val="24"/>
                <w:lang w:eastAsia="en-GB"/>
              </w:rPr>
            </w:pPr>
            <w:r w:rsidRPr="006B395D">
              <w:rPr>
                <w:rFonts w:ascii="Arial" w:eastAsia="Times New Roman" w:hAnsi="Arial" w:cs="Arial"/>
                <w:sz w:val="24"/>
                <w:szCs w:val="24"/>
                <w:lang w:eastAsia="en-GB"/>
              </w:rPr>
              <w:t> </w:t>
            </w:r>
          </w:p>
        </w:tc>
        <w:tc>
          <w:tcPr>
            <w:tcW w:w="1362" w:type="dxa"/>
            <w:tcBorders>
              <w:top w:val="single" w:sz="4" w:space="0" w:color="auto"/>
              <w:left w:val="nil"/>
              <w:bottom w:val="nil"/>
              <w:right w:val="single" w:sz="4" w:space="0" w:color="auto"/>
            </w:tcBorders>
            <w:shd w:val="clear" w:color="auto" w:fill="F7CAAC" w:themeFill="accent2" w:themeFillTint="66"/>
            <w:vAlign w:val="center"/>
            <w:hideMark/>
          </w:tcPr>
          <w:p w14:paraId="4379180D"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2022</w:t>
            </w:r>
          </w:p>
        </w:tc>
        <w:tc>
          <w:tcPr>
            <w:tcW w:w="1362" w:type="dxa"/>
            <w:tcBorders>
              <w:top w:val="single" w:sz="4" w:space="0" w:color="auto"/>
              <w:left w:val="nil"/>
              <w:bottom w:val="nil"/>
              <w:right w:val="single" w:sz="4" w:space="0" w:color="auto"/>
            </w:tcBorders>
            <w:shd w:val="clear" w:color="auto" w:fill="F7CAAC" w:themeFill="accent2" w:themeFillTint="66"/>
            <w:vAlign w:val="center"/>
            <w:hideMark/>
          </w:tcPr>
          <w:p w14:paraId="179C7C2C"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2021</w:t>
            </w:r>
          </w:p>
        </w:tc>
        <w:tc>
          <w:tcPr>
            <w:tcW w:w="1363" w:type="dxa"/>
            <w:tcBorders>
              <w:top w:val="single" w:sz="4" w:space="0" w:color="auto"/>
              <w:left w:val="nil"/>
              <w:bottom w:val="nil"/>
              <w:right w:val="single" w:sz="4" w:space="0" w:color="auto"/>
            </w:tcBorders>
            <w:shd w:val="clear" w:color="auto" w:fill="F7CAAC" w:themeFill="accent2" w:themeFillTint="66"/>
            <w:vAlign w:val="center"/>
            <w:hideMark/>
          </w:tcPr>
          <w:p w14:paraId="69546877"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2020</w:t>
            </w:r>
          </w:p>
        </w:tc>
        <w:tc>
          <w:tcPr>
            <w:tcW w:w="1362" w:type="dxa"/>
            <w:tcBorders>
              <w:top w:val="single" w:sz="4" w:space="0" w:color="auto"/>
              <w:left w:val="nil"/>
              <w:bottom w:val="nil"/>
              <w:right w:val="single" w:sz="4" w:space="0" w:color="auto"/>
            </w:tcBorders>
            <w:shd w:val="clear" w:color="auto" w:fill="F7CAAC" w:themeFill="accent2" w:themeFillTint="66"/>
            <w:vAlign w:val="center"/>
            <w:hideMark/>
          </w:tcPr>
          <w:p w14:paraId="66389E2E"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2019</w:t>
            </w:r>
          </w:p>
        </w:tc>
        <w:tc>
          <w:tcPr>
            <w:tcW w:w="1363" w:type="dxa"/>
            <w:tcBorders>
              <w:top w:val="single" w:sz="4" w:space="0" w:color="auto"/>
              <w:left w:val="nil"/>
              <w:bottom w:val="nil"/>
              <w:right w:val="single" w:sz="4" w:space="0" w:color="auto"/>
            </w:tcBorders>
            <w:shd w:val="clear" w:color="auto" w:fill="F7CAAC" w:themeFill="accent2" w:themeFillTint="66"/>
            <w:vAlign w:val="center"/>
            <w:hideMark/>
          </w:tcPr>
          <w:p w14:paraId="25193BB4"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2018</w:t>
            </w:r>
          </w:p>
        </w:tc>
      </w:tr>
      <w:tr w:rsidR="006B395D" w:rsidRPr="006B395D" w14:paraId="29D818A1" w14:textId="77777777" w:rsidTr="006B395D">
        <w:trPr>
          <w:trHeight w:val="290"/>
        </w:trPr>
        <w:tc>
          <w:tcPr>
            <w:tcW w:w="2260" w:type="dxa"/>
            <w:vMerge/>
            <w:tcBorders>
              <w:top w:val="nil"/>
              <w:left w:val="nil"/>
              <w:bottom w:val="single" w:sz="4" w:space="0" w:color="auto"/>
              <w:right w:val="single" w:sz="4" w:space="0" w:color="auto"/>
            </w:tcBorders>
            <w:vAlign w:val="center"/>
            <w:hideMark/>
          </w:tcPr>
          <w:p w14:paraId="27BF28CC" w14:textId="77777777" w:rsidR="006B395D" w:rsidRPr="006B395D" w:rsidRDefault="006B395D" w:rsidP="006B395D">
            <w:pPr>
              <w:spacing w:after="0" w:line="240" w:lineRule="auto"/>
              <w:rPr>
                <w:rFonts w:ascii="Arial" w:eastAsia="Times New Roman" w:hAnsi="Arial" w:cs="Arial"/>
                <w:sz w:val="24"/>
                <w:szCs w:val="24"/>
                <w:lang w:eastAsia="en-GB"/>
              </w:rPr>
            </w:pPr>
          </w:p>
        </w:tc>
        <w:tc>
          <w:tcPr>
            <w:tcW w:w="1362" w:type="dxa"/>
            <w:tcBorders>
              <w:top w:val="nil"/>
              <w:left w:val="nil"/>
              <w:bottom w:val="single" w:sz="4" w:space="0" w:color="auto"/>
              <w:right w:val="single" w:sz="4" w:space="0" w:color="auto"/>
            </w:tcBorders>
            <w:shd w:val="clear" w:color="auto" w:fill="F7CAAC" w:themeFill="accent2" w:themeFillTint="66"/>
            <w:vAlign w:val="center"/>
            <w:hideMark/>
          </w:tcPr>
          <w:p w14:paraId="6B8CE902"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w:t>
            </w:r>
          </w:p>
        </w:tc>
        <w:tc>
          <w:tcPr>
            <w:tcW w:w="1362" w:type="dxa"/>
            <w:tcBorders>
              <w:top w:val="nil"/>
              <w:left w:val="nil"/>
              <w:bottom w:val="single" w:sz="4" w:space="0" w:color="auto"/>
              <w:right w:val="single" w:sz="4" w:space="0" w:color="auto"/>
            </w:tcBorders>
            <w:shd w:val="clear" w:color="auto" w:fill="F7CAAC" w:themeFill="accent2" w:themeFillTint="66"/>
            <w:vAlign w:val="center"/>
            <w:hideMark/>
          </w:tcPr>
          <w:p w14:paraId="17D3D5D5"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w:t>
            </w:r>
          </w:p>
        </w:tc>
        <w:tc>
          <w:tcPr>
            <w:tcW w:w="1363" w:type="dxa"/>
            <w:tcBorders>
              <w:top w:val="nil"/>
              <w:left w:val="nil"/>
              <w:bottom w:val="single" w:sz="4" w:space="0" w:color="auto"/>
              <w:right w:val="single" w:sz="4" w:space="0" w:color="auto"/>
            </w:tcBorders>
            <w:shd w:val="clear" w:color="auto" w:fill="F7CAAC" w:themeFill="accent2" w:themeFillTint="66"/>
            <w:vAlign w:val="center"/>
            <w:hideMark/>
          </w:tcPr>
          <w:p w14:paraId="34BF19A2"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w:t>
            </w:r>
          </w:p>
        </w:tc>
        <w:tc>
          <w:tcPr>
            <w:tcW w:w="1362" w:type="dxa"/>
            <w:tcBorders>
              <w:top w:val="nil"/>
              <w:left w:val="nil"/>
              <w:bottom w:val="single" w:sz="4" w:space="0" w:color="auto"/>
              <w:right w:val="single" w:sz="4" w:space="0" w:color="auto"/>
            </w:tcBorders>
            <w:shd w:val="clear" w:color="auto" w:fill="F7CAAC" w:themeFill="accent2" w:themeFillTint="66"/>
            <w:vAlign w:val="center"/>
            <w:hideMark/>
          </w:tcPr>
          <w:p w14:paraId="224719BF"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w:t>
            </w:r>
          </w:p>
        </w:tc>
        <w:tc>
          <w:tcPr>
            <w:tcW w:w="1363" w:type="dxa"/>
            <w:tcBorders>
              <w:top w:val="nil"/>
              <w:left w:val="nil"/>
              <w:bottom w:val="single" w:sz="4" w:space="0" w:color="auto"/>
              <w:right w:val="single" w:sz="4" w:space="0" w:color="auto"/>
            </w:tcBorders>
            <w:shd w:val="clear" w:color="auto" w:fill="F7CAAC" w:themeFill="accent2" w:themeFillTint="66"/>
            <w:vAlign w:val="center"/>
            <w:hideMark/>
          </w:tcPr>
          <w:p w14:paraId="1CB36937" w14:textId="77777777" w:rsidR="006B395D" w:rsidRPr="006B395D" w:rsidRDefault="006B395D" w:rsidP="006B395D">
            <w:pPr>
              <w:spacing w:after="0" w:line="240" w:lineRule="auto"/>
              <w:jc w:val="center"/>
              <w:rPr>
                <w:rFonts w:ascii="Corbel" w:eastAsia="Times New Roman" w:hAnsi="Corbel" w:cs="Calibri"/>
                <w:b/>
                <w:bCs/>
                <w:sz w:val="24"/>
                <w:szCs w:val="24"/>
                <w:lang w:eastAsia="en-GB"/>
              </w:rPr>
            </w:pPr>
            <w:r w:rsidRPr="006B395D">
              <w:rPr>
                <w:rFonts w:ascii="Corbel" w:eastAsia="Times New Roman" w:hAnsi="Corbel" w:cs="Calibri"/>
                <w:b/>
                <w:bCs/>
                <w:sz w:val="24"/>
                <w:szCs w:val="24"/>
                <w:lang w:eastAsia="en-GB"/>
              </w:rPr>
              <w:t>(%)</w:t>
            </w:r>
          </w:p>
        </w:tc>
      </w:tr>
      <w:tr w:rsidR="006B395D" w:rsidRPr="006B395D" w14:paraId="6FE196B7" w14:textId="77777777" w:rsidTr="006B395D">
        <w:trPr>
          <w:trHeight w:val="768"/>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235B46C" w14:textId="1EBF1253" w:rsidR="006B395D" w:rsidRPr="006B395D" w:rsidRDefault="006B395D" w:rsidP="002B0E09">
            <w:pPr>
              <w:spacing w:after="0" w:line="240" w:lineRule="auto"/>
              <w:rPr>
                <w:rFonts w:ascii="Corbel" w:eastAsia="Times New Roman" w:hAnsi="Corbel" w:cs="Calibri"/>
                <w:sz w:val="24"/>
                <w:szCs w:val="24"/>
                <w:lang w:eastAsia="en-GB"/>
              </w:rPr>
            </w:pPr>
            <w:r w:rsidRPr="006B395D">
              <w:rPr>
                <w:rFonts w:ascii="Corbel" w:eastAsia="Times New Roman" w:hAnsi="Corbel" w:cs="Calibri"/>
                <w:sz w:val="24"/>
                <w:szCs w:val="24"/>
                <w:lang w:eastAsia="en-GB"/>
              </w:rPr>
              <w:t xml:space="preserve">Gender pay gap mean pay rate </w:t>
            </w:r>
          </w:p>
        </w:tc>
        <w:tc>
          <w:tcPr>
            <w:tcW w:w="1362" w:type="dxa"/>
            <w:tcBorders>
              <w:top w:val="nil"/>
              <w:left w:val="nil"/>
              <w:bottom w:val="single" w:sz="4" w:space="0" w:color="auto"/>
              <w:right w:val="single" w:sz="4" w:space="0" w:color="auto"/>
            </w:tcBorders>
            <w:shd w:val="clear" w:color="auto" w:fill="auto"/>
            <w:vAlign w:val="center"/>
            <w:hideMark/>
          </w:tcPr>
          <w:p w14:paraId="41578E91" w14:textId="54AB72D2"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17.6</w:t>
            </w:r>
          </w:p>
        </w:tc>
        <w:tc>
          <w:tcPr>
            <w:tcW w:w="1362" w:type="dxa"/>
            <w:tcBorders>
              <w:top w:val="nil"/>
              <w:left w:val="nil"/>
              <w:bottom w:val="single" w:sz="4" w:space="0" w:color="auto"/>
              <w:right w:val="single" w:sz="4" w:space="0" w:color="auto"/>
            </w:tcBorders>
            <w:shd w:val="clear" w:color="auto" w:fill="auto"/>
            <w:vAlign w:val="center"/>
            <w:hideMark/>
          </w:tcPr>
          <w:p w14:paraId="570529C4" w14:textId="7E859ECD"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19.3</w:t>
            </w:r>
          </w:p>
        </w:tc>
        <w:tc>
          <w:tcPr>
            <w:tcW w:w="1363" w:type="dxa"/>
            <w:tcBorders>
              <w:top w:val="nil"/>
              <w:left w:val="nil"/>
              <w:bottom w:val="single" w:sz="4" w:space="0" w:color="auto"/>
              <w:right w:val="single" w:sz="4" w:space="0" w:color="auto"/>
            </w:tcBorders>
            <w:shd w:val="clear" w:color="auto" w:fill="auto"/>
            <w:vAlign w:val="center"/>
            <w:hideMark/>
          </w:tcPr>
          <w:p w14:paraId="7C201CEA" w14:textId="77777777"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18.5</w:t>
            </w:r>
          </w:p>
        </w:tc>
        <w:tc>
          <w:tcPr>
            <w:tcW w:w="1362" w:type="dxa"/>
            <w:tcBorders>
              <w:top w:val="nil"/>
              <w:left w:val="nil"/>
              <w:bottom w:val="single" w:sz="4" w:space="0" w:color="auto"/>
              <w:right w:val="single" w:sz="4" w:space="0" w:color="auto"/>
            </w:tcBorders>
            <w:shd w:val="clear" w:color="auto" w:fill="auto"/>
            <w:vAlign w:val="center"/>
            <w:hideMark/>
          </w:tcPr>
          <w:p w14:paraId="77023F9B" w14:textId="77777777"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22.2</w:t>
            </w:r>
          </w:p>
        </w:tc>
        <w:tc>
          <w:tcPr>
            <w:tcW w:w="1363" w:type="dxa"/>
            <w:tcBorders>
              <w:top w:val="nil"/>
              <w:left w:val="nil"/>
              <w:bottom w:val="single" w:sz="4" w:space="0" w:color="auto"/>
              <w:right w:val="single" w:sz="4" w:space="0" w:color="auto"/>
            </w:tcBorders>
            <w:shd w:val="clear" w:color="auto" w:fill="auto"/>
            <w:vAlign w:val="center"/>
            <w:hideMark/>
          </w:tcPr>
          <w:p w14:paraId="2C4F0E3A" w14:textId="77777777"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24.9</w:t>
            </w:r>
          </w:p>
        </w:tc>
      </w:tr>
      <w:tr w:rsidR="006B395D" w:rsidRPr="006B395D" w14:paraId="1E12FD94" w14:textId="77777777" w:rsidTr="009E5F82">
        <w:trPr>
          <w:trHeight w:val="694"/>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C5FEDE8" w14:textId="232EB0E9" w:rsidR="006B395D" w:rsidRPr="006B395D" w:rsidRDefault="006B395D" w:rsidP="002B0E09">
            <w:pPr>
              <w:spacing w:after="0" w:line="240" w:lineRule="auto"/>
              <w:rPr>
                <w:rFonts w:ascii="Corbel" w:eastAsia="Times New Roman" w:hAnsi="Corbel" w:cs="Calibri"/>
                <w:sz w:val="24"/>
                <w:szCs w:val="24"/>
                <w:lang w:eastAsia="en-GB"/>
              </w:rPr>
            </w:pPr>
            <w:r w:rsidRPr="006B395D">
              <w:rPr>
                <w:rFonts w:ascii="Corbel" w:eastAsia="Times New Roman" w:hAnsi="Corbel" w:cs="Calibri"/>
                <w:sz w:val="24"/>
                <w:szCs w:val="24"/>
                <w:lang w:eastAsia="en-GB"/>
              </w:rPr>
              <w:t>Gender pay gap median pay rate</w:t>
            </w:r>
          </w:p>
        </w:tc>
        <w:tc>
          <w:tcPr>
            <w:tcW w:w="1362" w:type="dxa"/>
            <w:tcBorders>
              <w:top w:val="nil"/>
              <w:left w:val="nil"/>
              <w:bottom w:val="single" w:sz="4" w:space="0" w:color="auto"/>
              <w:right w:val="single" w:sz="4" w:space="0" w:color="auto"/>
            </w:tcBorders>
            <w:shd w:val="clear" w:color="auto" w:fill="auto"/>
            <w:vAlign w:val="center"/>
            <w:hideMark/>
          </w:tcPr>
          <w:p w14:paraId="4736A7D6" w14:textId="5060BB9A"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15.4</w:t>
            </w:r>
          </w:p>
        </w:tc>
        <w:tc>
          <w:tcPr>
            <w:tcW w:w="1362" w:type="dxa"/>
            <w:tcBorders>
              <w:top w:val="nil"/>
              <w:left w:val="nil"/>
              <w:bottom w:val="single" w:sz="4" w:space="0" w:color="auto"/>
              <w:right w:val="single" w:sz="4" w:space="0" w:color="auto"/>
            </w:tcBorders>
            <w:shd w:val="clear" w:color="auto" w:fill="auto"/>
            <w:vAlign w:val="center"/>
            <w:hideMark/>
          </w:tcPr>
          <w:p w14:paraId="16D18C52" w14:textId="672A166E"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18.6</w:t>
            </w:r>
          </w:p>
        </w:tc>
        <w:tc>
          <w:tcPr>
            <w:tcW w:w="1363" w:type="dxa"/>
            <w:tcBorders>
              <w:top w:val="nil"/>
              <w:left w:val="nil"/>
              <w:bottom w:val="single" w:sz="4" w:space="0" w:color="auto"/>
              <w:right w:val="single" w:sz="4" w:space="0" w:color="auto"/>
            </w:tcBorders>
            <w:shd w:val="clear" w:color="auto" w:fill="auto"/>
            <w:vAlign w:val="center"/>
            <w:hideMark/>
          </w:tcPr>
          <w:p w14:paraId="0000D586" w14:textId="77777777"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17.5</w:t>
            </w:r>
          </w:p>
        </w:tc>
        <w:tc>
          <w:tcPr>
            <w:tcW w:w="1362" w:type="dxa"/>
            <w:tcBorders>
              <w:top w:val="nil"/>
              <w:left w:val="nil"/>
              <w:bottom w:val="single" w:sz="4" w:space="0" w:color="auto"/>
              <w:right w:val="single" w:sz="4" w:space="0" w:color="auto"/>
            </w:tcBorders>
            <w:shd w:val="clear" w:color="auto" w:fill="auto"/>
            <w:vAlign w:val="center"/>
            <w:hideMark/>
          </w:tcPr>
          <w:p w14:paraId="3B0C1DD8" w14:textId="77777777"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22.6</w:t>
            </w:r>
          </w:p>
        </w:tc>
        <w:tc>
          <w:tcPr>
            <w:tcW w:w="1363" w:type="dxa"/>
            <w:tcBorders>
              <w:top w:val="nil"/>
              <w:left w:val="nil"/>
              <w:bottom w:val="single" w:sz="4" w:space="0" w:color="auto"/>
              <w:right w:val="single" w:sz="4" w:space="0" w:color="auto"/>
            </w:tcBorders>
            <w:shd w:val="clear" w:color="auto" w:fill="auto"/>
            <w:vAlign w:val="center"/>
            <w:hideMark/>
          </w:tcPr>
          <w:p w14:paraId="5AE1A8BB" w14:textId="77777777" w:rsidR="006B395D" w:rsidRPr="006B395D" w:rsidRDefault="006B395D" w:rsidP="006B395D">
            <w:pPr>
              <w:spacing w:after="0" w:line="240" w:lineRule="auto"/>
              <w:jc w:val="center"/>
              <w:rPr>
                <w:rFonts w:ascii="Corbel" w:eastAsia="Times New Roman" w:hAnsi="Corbel" w:cs="Calibri"/>
                <w:sz w:val="24"/>
                <w:szCs w:val="24"/>
                <w:lang w:eastAsia="en-GB"/>
              </w:rPr>
            </w:pPr>
            <w:r w:rsidRPr="006B395D">
              <w:rPr>
                <w:rFonts w:ascii="Corbel" w:eastAsia="Times New Roman" w:hAnsi="Corbel" w:cs="Calibri"/>
                <w:sz w:val="24"/>
                <w:szCs w:val="24"/>
                <w:lang w:eastAsia="en-GB"/>
              </w:rPr>
              <w:t>31.6</w:t>
            </w:r>
          </w:p>
        </w:tc>
      </w:tr>
    </w:tbl>
    <w:p w14:paraId="6D38B44E" w14:textId="1EB0A1EB" w:rsidR="00340277" w:rsidRDefault="00E6252B" w:rsidP="009C0809">
      <w:pPr>
        <w:ind w:left="2977"/>
        <w:rPr>
          <w:rFonts w:ascii="Corbel" w:hAnsi="Corbel"/>
          <w:sz w:val="24"/>
          <w:szCs w:val="24"/>
        </w:rPr>
      </w:pPr>
      <w:r w:rsidRPr="00952E33">
        <w:rPr>
          <w:rFonts w:ascii="Corbel" w:hAnsi="Corbel"/>
          <w:noProof/>
          <w:sz w:val="24"/>
          <w:szCs w:val="24"/>
        </w:rPr>
        <mc:AlternateContent>
          <mc:Choice Requires="wps">
            <w:drawing>
              <wp:inline distT="0" distB="0" distL="0" distR="0" wp14:anchorId="7F17449F" wp14:editId="12BC1FEF">
                <wp:extent cx="3890645" cy="240664"/>
                <wp:effectExtent l="0" t="0" r="0" b="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240664"/>
                        </a:xfrm>
                        <a:prstGeom prst="rect">
                          <a:avLst/>
                        </a:prstGeom>
                        <a:noFill/>
                        <a:ln w="9525">
                          <a:noFill/>
                          <a:miter lim="800000"/>
                          <a:headEnd/>
                          <a:tailEnd/>
                        </a:ln>
                      </wps:spPr>
                      <wps:txbx>
                        <w:txbxContent>
                          <w:p w14:paraId="495A2A5E" w14:textId="15702482" w:rsidR="00E6252B" w:rsidRPr="00846AC5" w:rsidRDefault="00E6252B" w:rsidP="00E6252B">
                            <w:pPr>
                              <w:spacing w:after="0" w:line="240" w:lineRule="auto"/>
                              <w:jc w:val="right"/>
                              <w:rPr>
                                <w:sz w:val="18"/>
                                <w:szCs w:val="18"/>
                              </w:rPr>
                            </w:pPr>
                            <w:r w:rsidRPr="00846AC5">
                              <w:rPr>
                                <w:sz w:val="18"/>
                                <w:szCs w:val="18"/>
                              </w:rPr>
                              <w:t xml:space="preserve">Figure </w:t>
                            </w:r>
                            <w:r>
                              <w:rPr>
                                <w:sz w:val="18"/>
                                <w:szCs w:val="18"/>
                              </w:rPr>
                              <w:t xml:space="preserve">13 </w:t>
                            </w:r>
                            <w:r w:rsidRPr="00846AC5">
                              <w:rPr>
                                <w:sz w:val="18"/>
                                <w:szCs w:val="18"/>
                              </w:rPr>
                              <w:t>–</w:t>
                            </w:r>
                            <w:r w:rsidR="00E90387">
                              <w:rPr>
                                <w:sz w:val="18"/>
                                <w:szCs w:val="18"/>
                              </w:rPr>
                              <w:t>gender pay gaps</w:t>
                            </w:r>
                            <w:r>
                              <w:rPr>
                                <w:sz w:val="18"/>
                                <w:szCs w:val="18"/>
                              </w:rPr>
                              <w:t xml:space="preserve">, </w:t>
                            </w:r>
                            <w:r w:rsidR="00E90387">
                              <w:rPr>
                                <w:sz w:val="18"/>
                                <w:szCs w:val="18"/>
                              </w:rPr>
                              <w:t>2018 -</w:t>
                            </w:r>
                            <w:r>
                              <w:rPr>
                                <w:sz w:val="18"/>
                                <w:szCs w:val="18"/>
                              </w:rPr>
                              <w:t xml:space="preserve"> 2022</w:t>
                            </w:r>
                          </w:p>
                        </w:txbxContent>
                      </wps:txbx>
                      <wps:bodyPr rot="0" vert="horz" wrap="square" lIns="91440" tIns="45720" rIns="91440" bIns="45720" anchor="t" anchorCtr="0">
                        <a:spAutoFit/>
                      </wps:bodyPr>
                    </wps:wsp>
                  </a:graphicData>
                </a:graphic>
              </wp:inline>
            </w:drawing>
          </mc:Choice>
          <mc:Fallback>
            <w:pict>
              <v:shape w14:anchorId="7F17449F" id="Text Box 2" o:spid="_x0000_s1039" type="#_x0000_t202" style="width:306.3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" filled="f" stroked="f">
                <v:textbox style="mso-fit-shape-to-text:t">
                  <w:txbxContent>
                    <w:p w14:paraId="495A2A5E" w14:textId="15702482" w:rsidR="00E6252B" w:rsidRPr="00846AC5" w:rsidRDefault="00E6252B" w:rsidP="00E6252B">
                      <w:pPr>
                        <w:spacing w:after="0" w:line="240" w:lineRule="auto"/>
                        <w:jc w:val="right"/>
                        <w:rPr>
                          <w:sz w:val="18"/>
                          <w:szCs w:val="18"/>
                        </w:rPr>
                      </w:pPr>
                      <w:r w:rsidRPr="00846AC5">
                        <w:rPr>
                          <w:sz w:val="18"/>
                          <w:szCs w:val="18"/>
                        </w:rPr>
                        <w:t xml:space="preserve">Figure </w:t>
                      </w:r>
                      <w:r>
                        <w:rPr>
                          <w:sz w:val="18"/>
                          <w:szCs w:val="18"/>
                        </w:rPr>
                        <w:t xml:space="preserve">13 </w:t>
                      </w:r>
                      <w:r w:rsidRPr="00846AC5">
                        <w:rPr>
                          <w:sz w:val="18"/>
                          <w:szCs w:val="18"/>
                        </w:rPr>
                        <w:t>–</w:t>
                      </w:r>
                      <w:r w:rsidR="00E90387">
                        <w:rPr>
                          <w:sz w:val="18"/>
                          <w:szCs w:val="18"/>
                        </w:rPr>
                        <w:t>gender pay gaps</w:t>
                      </w:r>
                      <w:r>
                        <w:rPr>
                          <w:sz w:val="18"/>
                          <w:szCs w:val="18"/>
                        </w:rPr>
                        <w:t xml:space="preserve">, </w:t>
                      </w:r>
                      <w:r w:rsidR="00E90387">
                        <w:rPr>
                          <w:sz w:val="18"/>
                          <w:szCs w:val="18"/>
                        </w:rPr>
                        <w:t>2018 -</w:t>
                      </w:r>
                      <w:r>
                        <w:rPr>
                          <w:sz w:val="18"/>
                          <w:szCs w:val="18"/>
                        </w:rPr>
                        <w:t xml:space="preserve"> 2022</w:t>
                      </w:r>
                    </w:p>
                  </w:txbxContent>
                </v:textbox>
                <w10:anchorlock/>
              </v:shape>
            </w:pict>
          </mc:Fallback>
        </mc:AlternateContent>
      </w:r>
    </w:p>
    <w:p w14:paraId="236298E3" w14:textId="78EE304C" w:rsidR="00975F59" w:rsidRDefault="00890B77" w:rsidP="00890B77">
      <w:pPr>
        <w:rPr>
          <w:rFonts w:ascii="Corbel" w:hAnsi="Corbel"/>
          <w:sz w:val="24"/>
          <w:szCs w:val="24"/>
        </w:rPr>
      </w:pPr>
      <w:r w:rsidRPr="003969BA">
        <w:rPr>
          <w:rFonts w:ascii="Corbel" w:hAnsi="Corbel"/>
          <w:sz w:val="24"/>
          <w:szCs w:val="24"/>
        </w:rPr>
        <w:t>I</w:t>
      </w:r>
      <w:r w:rsidR="0074075A" w:rsidRPr="003969BA">
        <w:rPr>
          <w:rFonts w:ascii="Corbel" w:hAnsi="Corbel"/>
          <w:sz w:val="24"/>
          <w:szCs w:val="24"/>
        </w:rPr>
        <w:t>n 2022 the mean gender pay gap f</w:t>
      </w:r>
      <w:r w:rsidR="0046055F">
        <w:rPr>
          <w:rFonts w:ascii="Corbel" w:hAnsi="Corbel"/>
          <w:sz w:val="24"/>
          <w:szCs w:val="24"/>
        </w:rPr>
        <w:t>e</w:t>
      </w:r>
      <w:r w:rsidR="0074075A" w:rsidRPr="003969BA">
        <w:rPr>
          <w:rFonts w:ascii="Corbel" w:hAnsi="Corbel"/>
          <w:sz w:val="24"/>
          <w:szCs w:val="24"/>
        </w:rPr>
        <w:t xml:space="preserve">ll </w:t>
      </w:r>
      <w:r w:rsidR="0046055F">
        <w:rPr>
          <w:rFonts w:ascii="Corbel" w:hAnsi="Corbel"/>
          <w:sz w:val="24"/>
          <w:szCs w:val="24"/>
        </w:rPr>
        <w:t>by</w:t>
      </w:r>
      <w:r w:rsidR="0074075A" w:rsidRPr="003969BA">
        <w:rPr>
          <w:rFonts w:ascii="Corbel" w:hAnsi="Corbel"/>
          <w:sz w:val="24"/>
          <w:szCs w:val="24"/>
        </w:rPr>
        <w:t xml:space="preserve"> 1.7 percentage points since </w:t>
      </w:r>
      <w:r w:rsidR="00E90387">
        <w:rPr>
          <w:rFonts w:ascii="Corbel" w:hAnsi="Corbel"/>
          <w:sz w:val="24"/>
          <w:szCs w:val="24"/>
        </w:rPr>
        <w:t>the previous year</w:t>
      </w:r>
      <w:r w:rsidR="00CB5B2F">
        <w:rPr>
          <w:rFonts w:ascii="Corbel" w:hAnsi="Corbel"/>
          <w:sz w:val="24"/>
          <w:szCs w:val="24"/>
        </w:rPr>
        <w:t xml:space="preserve"> and t</w:t>
      </w:r>
      <w:r w:rsidR="0074075A" w:rsidRPr="003969BA">
        <w:rPr>
          <w:rFonts w:ascii="Corbel" w:hAnsi="Corbel"/>
          <w:sz w:val="24"/>
          <w:szCs w:val="24"/>
        </w:rPr>
        <w:t xml:space="preserve">he median </w:t>
      </w:r>
      <w:r w:rsidR="00CB5B2F">
        <w:rPr>
          <w:rFonts w:ascii="Corbel" w:hAnsi="Corbel"/>
          <w:sz w:val="24"/>
          <w:szCs w:val="24"/>
        </w:rPr>
        <w:t>by</w:t>
      </w:r>
      <w:r w:rsidR="0074075A" w:rsidRPr="003969BA">
        <w:rPr>
          <w:rFonts w:ascii="Corbel" w:hAnsi="Corbel"/>
          <w:sz w:val="24"/>
          <w:szCs w:val="24"/>
        </w:rPr>
        <w:t xml:space="preserve"> 3.2 percentage points.  </w:t>
      </w:r>
      <w:r w:rsidR="0059320F">
        <w:rPr>
          <w:rFonts w:ascii="Corbel" w:hAnsi="Corbel"/>
          <w:sz w:val="24"/>
          <w:szCs w:val="24"/>
        </w:rPr>
        <w:t xml:space="preserve">The gender pay gaps have fallen consistently over the last five years with the exception of </w:t>
      </w:r>
      <w:r w:rsidR="00950A63">
        <w:rPr>
          <w:rFonts w:ascii="Corbel" w:hAnsi="Corbel"/>
          <w:sz w:val="24"/>
          <w:szCs w:val="24"/>
        </w:rPr>
        <w:t>in 2021</w:t>
      </w:r>
      <w:r w:rsidR="006E16F9">
        <w:rPr>
          <w:rFonts w:ascii="Corbel" w:hAnsi="Corbel"/>
          <w:sz w:val="24"/>
          <w:szCs w:val="24"/>
        </w:rPr>
        <w:t>, whe</w:t>
      </w:r>
      <w:r w:rsidR="00E90387">
        <w:rPr>
          <w:rFonts w:ascii="Corbel" w:hAnsi="Corbel"/>
          <w:sz w:val="24"/>
          <w:szCs w:val="24"/>
        </w:rPr>
        <w:t>re</w:t>
      </w:r>
      <w:r w:rsidR="006E16F9">
        <w:rPr>
          <w:rFonts w:ascii="Corbel" w:hAnsi="Corbel"/>
          <w:sz w:val="24"/>
          <w:szCs w:val="24"/>
        </w:rPr>
        <w:t xml:space="preserve"> a small </w:t>
      </w:r>
      <w:r w:rsidR="0015240F">
        <w:rPr>
          <w:rFonts w:ascii="Corbel" w:hAnsi="Corbel"/>
          <w:sz w:val="24"/>
          <w:szCs w:val="24"/>
        </w:rPr>
        <w:t>rise was caused by</w:t>
      </w:r>
      <w:r w:rsidR="00E90387">
        <w:rPr>
          <w:rFonts w:ascii="Corbel" w:hAnsi="Corbel"/>
          <w:sz w:val="24"/>
          <w:szCs w:val="24"/>
        </w:rPr>
        <w:t xml:space="preserve"> a decrease in the size of the casual workforce, and</w:t>
      </w:r>
      <w:r w:rsidR="0015240F">
        <w:rPr>
          <w:rFonts w:ascii="Corbel" w:hAnsi="Corbel"/>
          <w:sz w:val="24"/>
          <w:szCs w:val="24"/>
        </w:rPr>
        <w:t xml:space="preserve"> </w:t>
      </w:r>
      <w:r w:rsidR="00520869">
        <w:rPr>
          <w:rFonts w:ascii="Corbel" w:hAnsi="Corbel"/>
          <w:sz w:val="24"/>
          <w:szCs w:val="24"/>
        </w:rPr>
        <w:t xml:space="preserve">an increase in the proportion of women both in casual roles and in </w:t>
      </w:r>
      <w:r w:rsidR="00A35A43">
        <w:rPr>
          <w:rFonts w:ascii="Corbel" w:hAnsi="Corbel"/>
          <w:sz w:val="24"/>
          <w:szCs w:val="24"/>
        </w:rPr>
        <w:t xml:space="preserve">grades 2-5.  </w:t>
      </w:r>
      <w:r w:rsidR="00B41575">
        <w:rPr>
          <w:rFonts w:ascii="Corbel" w:hAnsi="Corbel"/>
          <w:sz w:val="24"/>
          <w:szCs w:val="24"/>
        </w:rPr>
        <w:t xml:space="preserve">This year </w:t>
      </w:r>
      <w:r w:rsidR="007C1C2E">
        <w:rPr>
          <w:rFonts w:ascii="Corbel" w:hAnsi="Corbel"/>
          <w:sz w:val="24"/>
          <w:szCs w:val="24"/>
        </w:rPr>
        <w:t xml:space="preserve">similar proportions of male and female staff </w:t>
      </w:r>
      <w:r w:rsidR="00657453">
        <w:rPr>
          <w:rFonts w:ascii="Corbel" w:hAnsi="Corbel"/>
          <w:sz w:val="24"/>
          <w:szCs w:val="24"/>
        </w:rPr>
        <w:t>in this groups have</w:t>
      </w:r>
      <w:r w:rsidR="009C0809">
        <w:rPr>
          <w:rFonts w:ascii="Corbel" w:hAnsi="Corbel"/>
          <w:sz w:val="24"/>
          <w:szCs w:val="24"/>
        </w:rPr>
        <w:t xml:space="preserve"> been</w:t>
      </w:r>
      <w:r w:rsidR="00657453">
        <w:rPr>
          <w:rFonts w:ascii="Corbel" w:hAnsi="Corbel"/>
          <w:sz w:val="24"/>
          <w:szCs w:val="24"/>
        </w:rPr>
        <w:t xml:space="preserve"> </w:t>
      </w:r>
      <w:r w:rsidR="00C216EE">
        <w:rPr>
          <w:rFonts w:ascii="Corbel" w:hAnsi="Corbel"/>
          <w:sz w:val="24"/>
          <w:szCs w:val="24"/>
        </w:rPr>
        <w:t>maintained but</w:t>
      </w:r>
      <w:r w:rsidR="00657453">
        <w:rPr>
          <w:rFonts w:ascii="Corbel" w:hAnsi="Corbel"/>
          <w:sz w:val="24"/>
          <w:szCs w:val="24"/>
        </w:rPr>
        <w:t xml:space="preserve"> have been balanced by a 3.5 percentage point increase in the number of female colleagues in grades </w:t>
      </w:r>
      <w:r w:rsidR="00E21F54">
        <w:rPr>
          <w:rFonts w:ascii="Corbel" w:hAnsi="Corbel"/>
          <w:sz w:val="24"/>
          <w:szCs w:val="24"/>
        </w:rPr>
        <w:t>6-10.</w:t>
      </w:r>
    </w:p>
    <w:p w14:paraId="6555736B" w14:textId="370255C4" w:rsidR="00220824" w:rsidRPr="00220824" w:rsidRDefault="008B702A" w:rsidP="00890B77">
      <w:pPr>
        <w:rPr>
          <w:rFonts w:ascii="Corbel" w:hAnsi="Corbel"/>
          <w:color w:val="4472C4" w:themeColor="accent1"/>
          <w:sz w:val="24"/>
          <w:szCs w:val="24"/>
        </w:rPr>
      </w:pPr>
      <w:r>
        <w:rPr>
          <w:rFonts w:ascii="Corbel" w:hAnsi="Corbel"/>
          <w:color w:val="4472C4" w:themeColor="accent1"/>
          <w:sz w:val="24"/>
          <w:szCs w:val="24"/>
        </w:rPr>
        <w:t>Gender r</w:t>
      </w:r>
      <w:r w:rsidR="00220824" w:rsidRPr="00220824">
        <w:rPr>
          <w:rFonts w:ascii="Corbel" w:hAnsi="Corbel"/>
          <w:color w:val="4472C4" w:themeColor="accent1"/>
          <w:sz w:val="24"/>
          <w:szCs w:val="24"/>
        </w:rPr>
        <w:t>epresentation</w:t>
      </w:r>
    </w:p>
    <w:p w14:paraId="68CC9A9C" w14:textId="1CCFAFE0" w:rsidR="005B42D3" w:rsidRDefault="00ED5EAC" w:rsidP="00890B77">
      <w:pPr>
        <w:rPr>
          <w:rFonts w:ascii="Corbel" w:hAnsi="Corbel"/>
          <w:sz w:val="24"/>
          <w:szCs w:val="24"/>
        </w:rPr>
      </w:pPr>
      <w:r>
        <w:rPr>
          <w:noProof/>
        </w:rPr>
        <w:drawing>
          <wp:anchor distT="0" distB="0" distL="114300" distR="114300" simplePos="0" relativeHeight="251660306" behindDoc="0" locked="0" layoutInCell="1" allowOverlap="1" wp14:anchorId="47D51EAB" wp14:editId="76F69CE8">
            <wp:simplePos x="0" y="0"/>
            <wp:positionH relativeFrom="column">
              <wp:posOffset>2514600</wp:posOffset>
            </wp:positionH>
            <wp:positionV relativeFrom="paragraph">
              <wp:posOffset>12065</wp:posOffset>
            </wp:positionV>
            <wp:extent cx="3648075" cy="2438400"/>
            <wp:effectExtent l="0" t="0" r="9525" b="0"/>
            <wp:wrapSquare wrapText="bothSides"/>
            <wp:docPr id="25" name="Chart 25">
              <a:extLst xmlns:a="http://schemas.openxmlformats.org/drawingml/2006/main">
                <a:ext uri="{FF2B5EF4-FFF2-40B4-BE49-F238E27FC236}">
                  <a16:creationId xmlns:a16="http://schemas.microsoft.com/office/drawing/2014/main" id="{E806C56C-2D36-81EB-A23D-DAF87238BD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840593">
        <w:rPr>
          <w:rFonts w:ascii="Corbel" w:hAnsi="Corbel"/>
          <w:sz w:val="24"/>
          <w:szCs w:val="24"/>
        </w:rPr>
        <w:t xml:space="preserve">Figure </w:t>
      </w:r>
      <w:r w:rsidR="00FA78D7">
        <w:rPr>
          <w:rFonts w:ascii="Corbel" w:hAnsi="Corbel"/>
          <w:sz w:val="24"/>
          <w:szCs w:val="24"/>
        </w:rPr>
        <w:t>14</w:t>
      </w:r>
      <w:r w:rsidR="00840593">
        <w:rPr>
          <w:rFonts w:ascii="Corbel" w:hAnsi="Corbel"/>
          <w:sz w:val="24"/>
          <w:szCs w:val="24"/>
        </w:rPr>
        <w:t xml:space="preserve"> shows t</w:t>
      </w:r>
      <w:r w:rsidR="006804F7">
        <w:rPr>
          <w:rFonts w:ascii="Corbel" w:hAnsi="Corbel"/>
          <w:sz w:val="24"/>
          <w:szCs w:val="24"/>
        </w:rPr>
        <w:t>he</w:t>
      </w:r>
      <w:r w:rsidR="0074075A" w:rsidRPr="003969BA">
        <w:rPr>
          <w:rFonts w:ascii="Corbel" w:hAnsi="Corbel"/>
          <w:sz w:val="24"/>
          <w:szCs w:val="24"/>
        </w:rPr>
        <w:t xml:space="preserve"> representation of </w:t>
      </w:r>
      <w:r w:rsidR="00D40B79">
        <w:rPr>
          <w:rFonts w:ascii="Corbel" w:hAnsi="Corbel"/>
          <w:sz w:val="24"/>
          <w:szCs w:val="24"/>
        </w:rPr>
        <w:t xml:space="preserve">male </w:t>
      </w:r>
      <w:r w:rsidR="0074075A" w:rsidRPr="003969BA">
        <w:rPr>
          <w:rFonts w:ascii="Corbel" w:hAnsi="Corbel"/>
          <w:sz w:val="24"/>
          <w:szCs w:val="24"/>
        </w:rPr>
        <w:t>and female staff within four pay quartiles</w:t>
      </w:r>
      <w:r w:rsidR="0055278D">
        <w:rPr>
          <w:rFonts w:ascii="Corbel" w:hAnsi="Corbel"/>
          <w:sz w:val="24"/>
          <w:szCs w:val="24"/>
        </w:rPr>
        <w:t>.</w:t>
      </w:r>
      <w:r w:rsidR="0074075A" w:rsidRPr="003969BA">
        <w:rPr>
          <w:rFonts w:ascii="Corbel" w:hAnsi="Corbel"/>
          <w:sz w:val="24"/>
          <w:szCs w:val="24"/>
        </w:rPr>
        <w:t xml:space="preserve"> </w:t>
      </w:r>
    </w:p>
    <w:p w14:paraId="0659BC20" w14:textId="43ABFB2C" w:rsidR="00A54A2A" w:rsidRDefault="00C216EE" w:rsidP="00890B77">
      <w:pPr>
        <w:rPr>
          <w:rFonts w:ascii="Corbel" w:hAnsi="Corbel"/>
          <w:sz w:val="24"/>
          <w:szCs w:val="24"/>
        </w:rPr>
      </w:pPr>
      <w:r w:rsidRPr="00C216EE">
        <w:rPr>
          <w:rFonts w:ascii="Corbel" w:hAnsi="Corbel"/>
          <w:noProof/>
          <w:sz w:val="24"/>
          <w:szCs w:val="24"/>
        </w:rPr>
        <mc:AlternateContent>
          <mc:Choice Requires="wps">
            <w:drawing>
              <wp:anchor distT="45720" distB="45720" distL="114300" distR="114300" simplePos="0" relativeHeight="251666450" behindDoc="0" locked="0" layoutInCell="1" allowOverlap="1" wp14:anchorId="39D9ABE7" wp14:editId="34D7D1D9">
                <wp:simplePos x="0" y="0"/>
                <wp:positionH relativeFrom="column">
                  <wp:posOffset>2752725</wp:posOffset>
                </wp:positionH>
                <wp:positionV relativeFrom="paragraph">
                  <wp:posOffset>1785620</wp:posOffset>
                </wp:positionV>
                <wp:extent cx="342900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27E73430" w14:textId="61AB2F4F" w:rsidR="00C216EE" w:rsidRPr="00C216EE" w:rsidRDefault="00C216EE" w:rsidP="00845727">
                            <w:pPr>
                              <w:spacing w:after="0" w:line="240" w:lineRule="auto"/>
                              <w:rPr>
                                <w:sz w:val="20"/>
                                <w:szCs w:val="20"/>
                              </w:rPr>
                            </w:pPr>
                            <w:r w:rsidRPr="00C216EE">
                              <w:rPr>
                                <w:sz w:val="20"/>
                                <w:szCs w:val="20"/>
                              </w:rPr>
                              <w:t>Figure 14 – gender distribution by pay quartile, 31 March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9ABE7" id="_x0000_s1040" type="#_x0000_t202" style="position:absolute;margin-left:216.75pt;margin-top:140.6pt;width:270pt;height:110.6pt;z-index:2516664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3EgIAAP8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" stroked="f">
                <v:textbox style="mso-fit-shape-to-text:t">
                  <w:txbxContent>
                    <w:p w14:paraId="27E73430" w14:textId="61AB2F4F" w:rsidR="00C216EE" w:rsidRPr="00C216EE" w:rsidRDefault="00C216EE" w:rsidP="00845727">
                      <w:pPr>
                        <w:spacing w:after="0" w:line="240" w:lineRule="auto"/>
                        <w:rPr>
                          <w:sz w:val="20"/>
                          <w:szCs w:val="20"/>
                        </w:rPr>
                      </w:pPr>
                      <w:r w:rsidRPr="00C216EE">
                        <w:rPr>
                          <w:sz w:val="20"/>
                          <w:szCs w:val="20"/>
                        </w:rPr>
                        <w:t>Figure 14 – gender distribution by pay quartile, 31 March 2022</w:t>
                      </w:r>
                    </w:p>
                  </w:txbxContent>
                </v:textbox>
                <w10:wrap type="square"/>
              </v:shape>
            </w:pict>
          </mc:Fallback>
        </mc:AlternateContent>
      </w:r>
      <w:r w:rsidR="00FC2DA4">
        <w:rPr>
          <w:rFonts w:ascii="Corbel" w:hAnsi="Corbel"/>
          <w:sz w:val="24"/>
          <w:szCs w:val="24"/>
        </w:rPr>
        <w:t xml:space="preserve">The overall gender distribution is </w:t>
      </w:r>
      <w:r w:rsidR="00BE738C">
        <w:rPr>
          <w:rFonts w:ascii="Corbel" w:hAnsi="Corbel"/>
          <w:sz w:val="24"/>
          <w:szCs w:val="24"/>
        </w:rPr>
        <w:t>56.2</w:t>
      </w:r>
      <w:r w:rsidR="001103D8">
        <w:rPr>
          <w:rFonts w:ascii="Corbel" w:hAnsi="Corbel"/>
          <w:sz w:val="24"/>
          <w:szCs w:val="24"/>
        </w:rPr>
        <w:t>%</w:t>
      </w:r>
      <w:r w:rsidR="00345D3F">
        <w:rPr>
          <w:rFonts w:ascii="Corbel" w:hAnsi="Corbel"/>
          <w:sz w:val="24"/>
          <w:szCs w:val="24"/>
        </w:rPr>
        <w:t xml:space="preserve"> </w:t>
      </w:r>
      <w:r w:rsidR="001103D8">
        <w:rPr>
          <w:rFonts w:ascii="Corbel" w:hAnsi="Corbel"/>
          <w:sz w:val="24"/>
          <w:szCs w:val="24"/>
        </w:rPr>
        <w:t xml:space="preserve">female and </w:t>
      </w:r>
      <w:r w:rsidR="00BE738C">
        <w:rPr>
          <w:rFonts w:ascii="Corbel" w:hAnsi="Corbel"/>
          <w:sz w:val="24"/>
          <w:szCs w:val="24"/>
        </w:rPr>
        <w:t>43.8</w:t>
      </w:r>
      <w:r w:rsidR="001103D8">
        <w:rPr>
          <w:rFonts w:ascii="Corbel" w:hAnsi="Corbel"/>
          <w:sz w:val="24"/>
          <w:szCs w:val="24"/>
        </w:rPr>
        <w:t xml:space="preserve">% male.  The upper quartile holds </w:t>
      </w:r>
      <w:r w:rsidR="009F1FCA">
        <w:rPr>
          <w:rFonts w:ascii="Corbel" w:hAnsi="Corbel"/>
          <w:sz w:val="24"/>
          <w:szCs w:val="24"/>
        </w:rPr>
        <w:t>33.6</w:t>
      </w:r>
      <w:r w:rsidR="001103D8">
        <w:rPr>
          <w:rFonts w:ascii="Corbel" w:hAnsi="Corbel"/>
          <w:sz w:val="24"/>
          <w:szCs w:val="24"/>
        </w:rPr>
        <w:t>% of all male colleagues and on</w:t>
      </w:r>
      <w:r w:rsidR="00D15CF6">
        <w:rPr>
          <w:rFonts w:ascii="Corbel" w:hAnsi="Corbel"/>
          <w:sz w:val="24"/>
          <w:szCs w:val="24"/>
        </w:rPr>
        <w:t>ly</w:t>
      </w:r>
      <w:r w:rsidR="001103D8">
        <w:rPr>
          <w:rFonts w:ascii="Corbel" w:hAnsi="Corbel"/>
          <w:sz w:val="24"/>
          <w:szCs w:val="24"/>
        </w:rPr>
        <w:t xml:space="preserve"> 18</w:t>
      </w:r>
      <w:r w:rsidR="00D15CF6">
        <w:rPr>
          <w:rFonts w:ascii="Corbel" w:hAnsi="Corbel"/>
          <w:sz w:val="24"/>
          <w:szCs w:val="24"/>
        </w:rPr>
        <w:t>.3</w:t>
      </w:r>
      <w:r w:rsidR="00584469">
        <w:rPr>
          <w:rFonts w:ascii="Corbel" w:hAnsi="Corbel"/>
          <w:sz w:val="24"/>
          <w:szCs w:val="24"/>
        </w:rPr>
        <w:t xml:space="preserve">% of all female colleagues.  This is reversed in the lower quartile which holds </w:t>
      </w:r>
      <w:r w:rsidR="00D15CF6">
        <w:rPr>
          <w:rFonts w:ascii="Corbel" w:hAnsi="Corbel"/>
          <w:sz w:val="24"/>
          <w:szCs w:val="24"/>
        </w:rPr>
        <w:t>18.5</w:t>
      </w:r>
      <w:r w:rsidR="00584469">
        <w:rPr>
          <w:rFonts w:ascii="Corbel" w:hAnsi="Corbel"/>
          <w:sz w:val="24"/>
          <w:szCs w:val="24"/>
        </w:rPr>
        <w:t xml:space="preserve">% of all male colleagues and </w:t>
      </w:r>
      <w:r w:rsidR="00845727">
        <w:rPr>
          <w:rFonts w:ascii="Corbel" w:hAnsi="Corbel"/>
          <w:sz w:val="24"/>
          <w:szCs w:val="24"/>
        </w:rPr>
        <w:t>30.1</w:t>
      </w:r>
      <w:r w:rsidR="00584469">
        <w:rPr>
          <w:rFonts w:ascii="Corbel" w:hAnsi="Corbel"/>
          <w:sz w:val="24"/>
          <w:szCs w:val="24"/>
        </w:rPr>
        <w:t>%</w:t>
      </w:r>
      <w:r w:rsidR="00345D3F">
        <w:rPr>
          <w:rFonts w:ascii="Corbel" w:hAnsi="Corbel"/>
          <w:sz w:val="24"/>
          <w:szCs w:val="24"/>
        </w:rPr>
        <w:t xml:space="preserve"> of all female colleagues.  This is a major factor in why we have gender pay gaps.</w:t>
      </w:r>
      <w:r w:rsidR="009C0809" w:rsidRPr="009C0809">
        <w:rPr>
          <w:rFonts w:ascii="Corbel" w:hAnsi="Corbel"/>
          <w:noProof/>
          <w:sz w:val="24"/>
          <w:szCs w:val="24"/>
        </w:rPr>
        <w:t xml:space="preserve"> </w:t>
      </w:r>
    </w:p>
    <w:p w14:paraId="560562A5" w14:textId="77777777" w:rsidR="00ED5EAC" w:rsidRDefault="00ED5EAC" w:rsidP="00890B77">
      <w:pPr>
        <w:rPr>
          <w:rFonts w:ascii="Corbel" w:hAnsi="Corbel"/>
          <w:sz w:val="24"/>
          <w:szCs w:val="24"/>
        </w:rPr>
      </w:pPr>
    </w:p>
    <w:p w14:paraId="060A97C0" w14:textId="6C048C47" w:rsidR="0012365F" w:rsidRDefault="00845727" w:rsidP="00890B77">
      <w:pPr>
        <w:rPr>
          <w:rFonts w:ascii="Corbel" w:hAnsi="Corbel"/>
          <w:sz w:val="24"/>
          <w:szCs w:val="24"/>
        </w:rPr>
      </w:pPr>
      <w:r w:rsidRPr="00C216EE">
        <w:rPr>
          <w:rFonts w:ascii="Corbel" w:hAnsi="Corbel"/>
          <w:noProof/>
          <w:sz w:val="24"/>
          <w:szCs w:val="24"/>
        </w:rPr>
        <w:lastRenderedPageBreak/>
        <mc:AlternateContent>
          <mc:Choice Requires="wps">
            <w:drawing>
              <wp:anchor distT="45720" distB="45720" distL="114300" distR="114300" simplePos="0" relativeHeight="251668498" behindDoc="0" locked="0" layoutInCell="1" allowOverlap="1" wp14:anchorId="34B0E615" wp14:editId="0B139E48">
                <wp:simplePos x="0" y="0"/>
                <wp:positionH relativeFrom="margin">
                  <wp:posOffset>1524000</wp:posOffset>
                </wp:positionH>
                <wp:positionV relativeFrom="paragraph">
                  <wp:posOffset>3124200</wp:posOffset>
                </wp:positionV>
                <wp:extent cx="4210050"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2D9F55B6" w14:textId="7C2296C2" w:rsidR="00845727" w:rsidRPr="00C216EE" w:rsidRDefault="00845727" w:rsidP="00845727">
                            <w:pPr>
                              <w:spacing w:after="0" w:line="240" w:lineRule="auto"/>
                              <w:rPr>
                                <w:sz w:val="20"/>
                                <w:szCs w:val="20"/>
                              </w:rPr>
                            </w:pPr>
                            <w:r w:rsidRPr="00C216EE">
                              <w:rPr>
                                <w:sz w:val="20"/>
                                <w:szCs w:val="20"/>
                              </w:rPr>
                              <w:t>Figure 1</w:t>
                            </w:r>
                            <w:r>
                              <w:rPr>
                                <w:sz w:val="20"/>
                                <w:szCs w:val="20"/>
                              </w:rPr>
                              <w:t>5</w:t>
                            </w:r>
                            <w:r w:rsidRPr="00C216EE">
                              <w:rPr>
                                <w:sz w:val="20"/>
                                <w:szCs w:val="20"/>
                              </w:rPr>
                              <w:t xml:space="preserve"> – </w:t>
                            </w:r>
                            <w:r>
                              <w:rPr>
                                <w:sz w:val="20"/>
                                <w:szCs w:val="20"/>
                              </w:rPr>
                              <w:t xml:space="preserve">Change in quartile distribution of female </w:t>
                            </w:r>
                            <w:r w:rsidR="00231E33">
                              <w:rPr>
                                <w:sz w:val="20"/>
                                <w:szCs w:val="20"/>
                              </w:rPr>
                              <w:t>colleagues, 2018 -</w:t>
                            </w:r>
                            <w:r w:rsidRPr="00C216EE">
                              <w:rPr>
                                <w:sz w:val="20"/>
                                <w:szCs w:val="20"/>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0E615" id="_x0000_s1041" type="#_x0000_t202" style="position:absolute;margin-left:120pt;margin-top:246pt;width:331.5pt;height:110.6pt;z-index:25166849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" stroked="f">
                <v:textbox style="mso-fit-shape-to-text:t">
                  <w:txbxContent>
                    <w:p w14:paraId="2D9F55B6" w14:textId="7C2296C2" w:rsidR="00845727" w:rsidRPr="00C216EE" w:rsidRDefault="00845727" w:rsidP="00845727">
                      <w:pPr>
                        <w:spacing w:after="0" w:line="240" w:lineRule="auto"/>
                        <w:rPr>
                          <w:sz w:val="20"/>
                          <w:szCs w:val="20"/>
                        </w:rPr>
                      </w:pPr>
                      <w:r w:rsidRPr="00C216EE">
                        <w:rPr>
                          <w:sz w:val="20"/>
                          <w:szCs w:val="20"/>
                        </w:rPr>
                        <w:t>Figure 1</w:t>
                      </w:r>
                      <w:r>
                        <w:rPr>
                          <w:sz w:val="20"/>
                          <w:szCs w:val="20"/>
                        </w:rPr>
                        <w:t>5</w:t>
                      </w:r>
                      <w:r w:rsidRPr="00C216EE">
                        <w:rPr>
                          <w:sz w:val="20"/>
                          <w:szCs w:val="20"/>
                        </w:rPr>
                        <w:t xml:space="preserve"> – </w:t>
                      </w:r>
                      <w:r>
                        <w:rPr>
                          <w:sz w:val="20"/>
                          <w:szCs w:val="20"/>
                        </w:rPr>
                        <w:t xml:space="preserve">Change in quartile distribution of female </w:t>
                      </w:r>
                      <w:r w:rsidR="00231E33">
                        <w:rPr>
                          <w:sz w:val="20"/>
                          <w:szCs w:val="20"/>
                        </w:rPr>
                        <w:t>colleagues, 2018 -</w:t>
                      </w:r>
                      <w:r w:rsidRPr="00C216EE">
                        <w:rPr>
                          <w:sz w:val="20"/>
                          <w:szCs w:val="20"/>
                        </w:rPr>
                        <w:t xml:space="preserve"> 2022</w:t>
                      </w:r>
                    </w:p>
                  </w:txbxContent>
                </v:textbox>
                <w10:wrap type="square" anchorx="margin"/>
              </v:shape>
            </w:pict>
          </mc:Fallback>
        </mc:AlternateContent>
      </w:r>
      <w:r w:rsidR="0012365F">
        <w:rPr>
          <w:noProof/>
        </w:rPr>
        <w:drawing>
          <wp:inline distT="0" distB="0" distL="0" distR="0" wp14:anchorId="22F7918E" wp14:editId="4766F32E">
            <wp:extent cx="5731510" cy="3049270"/>
            <wp:effectExtent l="0" t="0" r="2540" b="17780"/>
            <wp:docPr id="26" name="Chart 26">
              <a:extLst xmlns:a="http://schemas.openxmlformats.org/drawingml/2006/main">
                <a:ext uri="{FF2B5EF4-FFF2-40B4-BE49-F238E27FC236}">
                  <a16:creationId xmlns:a16="http://schemas.microsoft.com/office/drawing/2014/main" id="{88363EE3-5CAD-22D7-F8EC-BCDA03D0E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D6707F" w14:textId="1811555D" w:rsidR="0012365F" w:rsidRDefault="0012365F" w:rsidP="00890B77">
      <w:pPr>
        <w:rPr>
          <w:rFonts w:ascii="Corbel" w:hAnsi="Corbel"/>
          <w:sz w:val="24"/>
          <w:szCs w:val="24"/>
        </w:rPr>
      </w:pPr>
    </w:p>
    <w:p w14:paraId="57D1ACB8" w14:textId="548CE044" w:rsidR="0074075A" w:rsidRPr="003969BA" w:rsidRDefault="00064893" w:rsidP="00890B77">
      <w:pPr>
        <w:rPr>
          <w:rFonts w:ascii="Corbel" w:hAnsi="Corbel"/>
          <w:sz w:val="24"/>
          <w:szCs w:val="24"/>
        </w:rPr>
      </w:pPr>
      <w:r>
        <w:rPr>
          <w:rFonts w:ascii="Corbel" w:hAnsi="Corbel"/>
          <w:sz w:val="24"/>
          <w:szCs w:val="24"/>
        </w:rPr>
        <w:t xml:space="preserve">Figure </w:t>
      </w:r>
      <w:r w:rsidR="00231E33">
        <w:rPr>
          <w:rFonts w:ascii="Corbel" w:hAnsi="Corbel"/>
          <w:sz w:val="24"/>
          <w:szCs w:val="24"/>
        </w:rPr>
        <w:t>15</w:t>
      </w:r>
      <w:r>
        <w:rPr>
          <w:rFonts w:ascii="Corbel" w:hAnsi="Corbel"/>
          <w:sz w:val="24"/>
          <w:szCs w:val="24"/>
        </w:rPr>
        <w:t xml:space="preserve"> shows </w:t>
      </w:r>
      <w:r w:rsidR="00056A79">
        <w:rPr>
          <w:rFonts w:ascii="Corbel" w:hAnsi="Corbel"/>
          <w:sz w:val="24"/>
          <w:szCs w:val="24"/>
        </w:rPr>
        <w:t>how the representation of women has changed across the last five years of gender pay gap report</w:t>
      </w:r>
      <w:r w:rsidR="00231E33">
        <w:rPr>
          <w:rFonts w:ascii="Corbel" w:hAnsi="Corbel"/>
          <w:sz w:val="24"/>
          <w:szCs w:val="24"/>
        </w:rPr>
        <w:t>ing</w:t>
      </w:r>
      <w:r w:rsidR="00056A79">
        <w:rPr>
          <w:rFonts w:ascii="Corbel" w:hAnsi="Corbel"/>
          <w:sz w:val="24"/>
          <w:szCs w:val="24"/>
        </w:rPr>
        <w:t>.  T</w:t>
      </w:r>
      <w:r>
        <w:rPr>
          <w:rFonts w:ascii="Corbel" w:hAnsi="Corbel"/>
          <w:sz w:val="24"/>
          <w:szCs w:val="24"/>
        </w:rPr>
        <w:t>here has been g</w:t>
      </w:r>
      <w:r w:rsidR="0074075A" w:rsidRPr="003969BA">
        <w:rPr>
          <w:rFonts w:ascii="Corbel" w:hAnsi="Corbel"/>
          <w:sz w:val="24"/>
          <w:szCs w:val="24"/>
        </w:rPr>
        <w:t>rowth in the number of female colleagues in the upper pay quartile</w:t>
      </w:r>
      <w:r w:rsidR="00FA6CDF">
        <w:rPr>
          <w:rFonts w:ascii="Corbel" w:hAnsi="Corbel"/>
          <w:sz w:val="24"/>
          <w:szCs w:val="24"/>
        </w:rPr>
        <w:t>, which</w:t>
      </w:r>
      <w:r w:rsidR="0074075A" w:rsidRPr="003969BA">
        <w:rPr>
          <w:rFonts w:ascii="Corbel" w:hAnsi="Corbel"/>
          <w:sz w:val="24"/>
          <w:szCs w:val="24"/>
        </w:rPr>
        <w:t xml:space="preserve"> has shown a small upward trend since 2018 and is over 40% for the first time this year. There is a marked </w:t>
      </w:r>
      <w:r w:rsidR="00CD0047">
        <w:rPr>
          <w:rFonts w:ascii="Corbel" w:hAnsi="Corbel"/>
          <w:sz w:val="24"/>
          <w:szCs w:val="24"/>
        </w:rPr>
        <w:t>de</w:t>
      </w:r>
      <w:r w:rsidR="0074075A" w:rsidRPr="003969BA">
        <w:rPr>
          <w:rFonts w:ascii="Corbel" w:hAnsi="Corbel"/>
          <w:sz w:val="24"/>
          <w:szCs w:val="24"/>
        </w:rPr>
        <w:t xml:space="preserve">crease of 6 percentage points in the number of </w:t>
      </w:r>
      <w:r w:rsidR="00516A89">
        <w:rPr>
          <w:rFonts w:ascii="Corbel" w:hAnsi="Corbel"/>
          <w:sz w:val="24"/>
          <w:szCs w:val="24"/>
        </w:rPr>
        <w:t>fe</w:t>
      </w:r>
      <w:r w:rsidR="0074075A" w:rsidRPr="003969BA">
        <w:rPr>
          <w:rFonts w:ascii="Corbel" w:hAnsi="Corbel"/>
          <w:sz w:val="24"/>
          <w:szCs w:val="24"/>
        </w:rPr>
        <w:t>male colleagues in the lower middle pay quartile over the same period.</w:t>
      </w:r>
    </w:p>
    <w:p w14:paraId="062DE2A5" w14:textId="77777777" w:rsidR="00F9682F" w:rsidRPr="00975F59" w:rsidRDefault="00F9682F" w:rsidP="00F9682F">
      <w:pPr>
        <w:rPr>
          <w:rFonts w:ascii="Corbel" w:hAnsi="Corbel"/>
          <w:color w:val="4472C4" w:themeColor="accent1"/>
          <w:sz w:val="24"/>
          <w:szCs w:val="24"/>
        </w:rPr>
      </w:pPr>
      <w:r>
        <w:rPr>
          <w:rFonts w:ascii="Corbel" w:hAnsi="Corbel"/>
          <w:color w:val="4472C4" w:themeColor="accent1"/>
          <w:sz w:val="24"/>
          <w:szCs w:val="24"/>
        </w:rPr>
        <w:t>Gender Bonus Gap</w:t>
      </w:r>
    </w:p>
    <w:p w14:paraId="295C8C84" w14:textId="5C497592" w:rsidR="00F9682F" w:rsidRPr="003969BA" w:rsidRDefault="00F9682F" w:rsidP="00F9682F">
      <w:pPr>
        <w:rPr>
          <w:rFonts w:ascii="Corbel" w:hAnsi="Corbel"/>
          <w:sz w:val="24"/>
          <w:szCs w:val="24"/>
        </w:rPr>
      </w:pPr>
      <w:r w:rsidRPr="003969BA">
        <w:rPr>
          <w:rFonts w:ascii="Corbel" w:hAnsi="Corbel"/>
          <w:sz w:val="24"/>
          <w:szCs w:val="24"/>
        </w:rPr>
        <w:t>Analysis of gender bonus gaps indicates that the mean gap was 35.3% whilst the median was 0%.  A greater proportion of female colleagues received a bonus (3.5%) compared to male colleagues (2.8%).  Bonuses are small in number and gaps fluctuate significantly each year.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51"/>
        <w:gridCol w:w="1223"/>
        <w:gridCol w:w="1223"/>
        <w:gridCol w:w="1223"/>
        <w:gridCol w:w="1223"/>
        <w:gridCol w:w="1224"/>
      </w:tblGrid>
      <w:tr w:rsidR="00F9682F" w:rsidRPr="00675C5D" w14:paraId="1AB845EB" w14:textId="77777777" w:rsidTr="00516A89">
        <w:trPr>
          <w:trHeight w:val="306"/>
        </w:trPr>
        <w:tc>
          <w:tcPr>
            <w:tcW w:w="2951" w:type="dxa"/>
            <w:tcBorders>
              <w:top w:val="nil"/>
              <w:left w:val="nil"/>
            </w:tcBorders>
            <w:shd w:val="clear" w:color="auto" w:fill="auto"/>
            <w:tcMar>
              <w:top w:w="72" w:type="dxa"/>
              <w:left w:w="144" w:type="dxa"/>
              <w:bottom w:w="72" w:type="dxa"/>
              <w:right w:w="144" w:type="dxa"/>
            </w:tcMar>
            <w:hideMark/>
          </w:tcPr>
          <w:p w14:paraId="5E875CBF" w14:textId="77777777" w:rsidR="00F9682F" w:rsidRPr="00675C5D" w:rsidRDefault="00F9682F" w:rsidP="005E01DB">
            <w:pPr>
              <w:pStyle w:val="ListParagraph"/>
              <w:numPr>
                <w:ilvl w:val="0"/>
                <w:numId w:val="0"/>
              </w:numPr>
              <w:jc w:val="left"/>
              <w:rPr>
                <w:sz w:val="24"/>
                <w:szCs w:val="24"/>
              </w:rPr>
            </w:pPr>
          </w:p>
        </w:tc>
        <w:tc>
          <w:tcPr>
            <w:tcW w:w="1223" w:type="dxa"/>
            <w:shd w:val="clear" w:color="auto" w:fill="F7CAAC" w:themeFill="accent2" w:themeFillTint="66"/>
            <w:tcMar>
              <w:top w:w="72" w:type="dxa"/>
              <w:left w:w="144" w:type="dxa"/>
              <w:bottom w:w="72" w:type="dxa"/>
              <w:right w:w="144" w:type="dxa"/>
            </w:tcMar>
            <w:hideMark/>
          </w:tcPr>
          <w:p w14:paraId="09FDFF74" w14:textId="77777777" w:rsidR="00F9682F" w:rsidRPr="009F5E76" w:rsidRDefault="00F9682F" w:rsidP="005E01DB">
            <w:pPr>
              <w:spacing w:after="0" w:line="240" w:lineRule="auto"/>
              <w:ind w:left="-57"/>
              <w:jc w:val="center"/>
              <w:rPr>
                <w:rFonts w:ascii="Corbel" w:hAnsi="Corbel"/>
                <w:b/>
                <w:bCs/>
                <w:sz w:val="24"/>
                <w:szCs w:val="24"/>
              </w:rPr>
            </w:pPr>
            <w:r w:rsidRPr="009F5E76">
              <w:rPr>
                <w:rFonts w:ascii="Corbel" w:hAnsi="Corbel"/>
                <w:b/>
                <w:bCs/>
                <w:sz w:val="24"/>
                <w:szCs w:val="24"/>
              </w:rPr>
              <w:t>2022</w:t>
            </w:r>
          </w:p>
          <w:p w14:paraId="703DC67A" w14:textId="77777777" w:rsidR="00F9682F" w:rsidRPr="009F5E76" w:rsidRDefault="00F9682F" w:rsidP="005E01DB">
            <w:pPr>
              <w:spacing w:after="0" w:line="240" w:lineRule="auto"/>
              <w:ind w:left="-57"/>
              <w:jc w:val="center"/>
              <w:rPr>
                <w:rFonts w:ascii="Corbel" w:hAnsi="Corbel"/>
                <w:b/>
                <w:bCs/>
                <w:sz w:val="24"/>
                <w:szCs w:val="24"/>
              </w:rPr>
            </w:pPr>
            <w:r w:rsidRPr="009F5E76">
              <w:rPr>
                <w:rFonts w:ascii="Corbel" w:hAnsi="Corbel"/>
                <w:b/>
                <w:bCs/>
                <w:sz w:val="24"/>
                <w:szCs w:val="24"/>
              </w:rPr>
              <w:t>(%)</w:t>
            </w:r>
          </w:p>
        </w:tc>
        <w:tc>
          <w:tcPr>
            <w:tcW w:w="1223" w:type="dxa"/>
            <w:shd w:val="clear" w:color="auto" w:fill="F7CAAC" w:themeFill="accent2" w:themeFillTint="66"/>
            <w:tcMar>
              <w:top w:w="72" w:type="dxa"/>
              <w:left w:w="144" w:type="dxa"/>
              <w:bottom w:w="72" w:type="dxa"/>
              <w:right w:w="144" w:type="dxa"/>
            </w:tcMar>
            <w:hideMark/>
          </w:tcPr>
          <w:p w14:paraId="0CF41F26" w14:textId="77777777" w:rsidR="00F9682F" w:rsidRPr="009F5E76" w:rsidRDefault="00F9682F" w:rsidP="005E01DB">
            <w:pPr>
              <w:pStyle w:val="ListParagraph"/>
              <w:numPr>
                <w:ilvl w:val="0"/>
                <w:numId w:val="0"/>
              </w:numPr>
              <w:ind w:left="49"/>
              <w:jc w:val="center"/>
              <w:rPr>
                <w:b/>
                <w:bCs/>
                <w:sz w:val="24"/>
                <w:szCs w:val="24"/>
              </w:rPr>
            </w:pPr>
            <w:r w:rsidRPr="009F5E76">
              <w:rPr>
                <w:b/>
                <w:bCs/>
                <w:sz w:val="24"/>
                <w:szCs w:val="24"/>
              </w:rPr>
              <w:t>2</w:t>
            </w:r>
            <w:r w:rsidRPr="00675C5D">
              <w:rPr>
                <w:b/>
                <w:bCs/>
                <w:sz w:val="24"/>
                <w:szCs w:val="24"/>
              </w:rPr>
              <w:t>021</w:t>
            </w:r>
          </w:p>
          <w:p w14:paraId="0C5BACC8" w14:textId="77777777" w:rsidR="00F9682F" w:rsidRPr="00675C5D" w:rsidRDefault="00F9682F" w:rsidP="005E01DB">
            <w:pPr>
              <w:pStyle w:val="ListParagraph"/>
              <w:numPr>
                <w:ilvl w:val="0"/>
                <w:numId w:val="0"/>
              </w:numPr>
              <w:jc w:val="center"/>
              <w:rPr>
                <w:sz w:val="24"/>
                <w:szCs w:val="24"/>
              </w:rPr>
            </w:pPr>
            <w:r w:rsidRPr="009F5E76">
              <w:rPr>
                <w:sz w:val="24"/>
                <w:szCs w:val="24"/>
              </w:rPr>
              <w:t>(%)</w:t>
            </w:r>
          </w:p>
        </w:tc>
        <w:tc>
          <w:tcPr>
            <w:tcW w:w="1223" w:type="dxa"/>
            <w:shd w:val="clear" w:color="auto" w:fill="F7CAAC" w:themeFill="accent2" w:themeFillTint="66"/>
            <w:tcMar>
              <w:top w:w="72" w:type="dxa"/>
              <w:left w:w="144" w:type="dxa"/>
              <w:bottom w:w="72" w:type="dxa"/>
              <w:right w:w="144" w:type="dxa"/>
            </w:tcMar>
            <w:hideMark/>
          </w:tcPr>
          <w:p w14:paraId="34001C12" w14:textId="77777777" w:rsidR="00F9682F" w:rsidRPr="009F5E76" w:rsidRDefault="00F9682F" w:rsidP="005E01DB">
            <w:pPr>
              <w:spacing w:after="0" w:line="240" w:lineRule="auto"/>
              <w:jc w:val="center"/>
              <w:rPr>
                <w:rFonts w:ascii="Corbel" w:hAnsi="Corbel"/>
                <w:b/>
                <w:bCs/>
                <w:sz w:val="24"/>
                <w:szCs w:val="24"/>
              </w:rPr>
            </w:pPr>
            <w:r w:rsidRPr="009F5E76">
              <w:rPr>
                <w:rFonts w:ascii="Corbel" w:hAnsi="Corbel"/>
                <w:b/>
                <w:bCs/>
                <w:sz w:val="24"/>
                <w:szCs w:val="24"/>
              </w:rPr>
              <w:t>2020</w:t>
            </w:r>
          </w:p>
          <w:p w14:paraId="0341A6D9" w14:textId="77777777" w:rsidR="00F9682F" w:rsidRPr="009F5E76" w:rsidRDefault="00F9682F" w:rsidP="005E01DB">
            <w:pPr>
              <w:spacing w:after="0" w:line="240" w:lineRule="auto"/>
              <w:jc w:val="center"/>
              <w:rPr>
                <w:rFonts w:ascii="Corbel" w:hAnsi="Corbel"/>
                <w:sz w:val="24"/>
                <w:szCs w:val="24"/>
              </w:rPr>
            </w:pPr>
            <w:r w:rsidRPr="009F5E76">
              <w:rPr>
                <w:rFonts w:ascii="Corbel" w:hAnsi="Corbel"/>
                <w:sz w:val="24"/>
                <w:szCs w:val="24"/>
              </w:rPr>
              <w:t>(%)</w:t>
            </w:r>
          </w:p>
        </w:tc>
        <w:tc>
          <w:tcPr>
            <w:tcW w:w="1223" w:type="dxa"/>
            <w:shd w:val="clear" w:color="auto" w:fill="F7CAAC" w:themeFill="accent2" w:themeFillTint="66"/>
            <w:tcMar>
              <w:top w:w="72" w:type="dxa"/>
              <w:left w:w="144" w:type="dxa"/>
              <w:bottom w:w="72" w:type="dxa"/>
              <w:right w:w="144" w:type="dxa"/>
            </w:tcMar>
            <w:hideMark/>
          </w:tcPr>
          <w:p w14:paraId="08AA912D" w14:textId="77777777" w:rsidR="00F9682F" w:rsidRPr="009F5E76" w:rsidRDefault="00F9682F" w:rsidP="005E01DB">
            <w:pPr>
              <w:spacing w:after="0" w:line="240" w:lineRule="auto"/>
              <w:jc w:val="center"/>
              <w:rPr>
                <w:rFonts w:ascii="Corbel" w:hAnsi="Corbel"/>
                <w:b/>
                <w:bCs/>
                <w:sz w:val="24"/>
                <w:szCs w:val="24"/>
              </w:rPr>
            </w:pPr>
            <w:r w:rsidRPr="009F5E76">
              <w:rPr>
                <w:rFonts w:ascii="Corbel" w:hAnsi="Corbel"/>
                <w:b/>
                <w:bCs/>
                <w:sz w:val="24"/>
                <w:szCs w:val="24"/>
              </w:rPr>
              <w:t>2019</w:t>
            </w:r>
          </w:p>
          <w:p w14:paraId="129023A0" w14:textId="77777777" w:rsidR="00F9682F" w:rsidRPr="009F5E76" w:rsidRDefault="00F9682F" w:rsidP="005E01DB">
            <w:pPr>
              <w:spacing w:after="0" w:line="240" w:lineRule="auto"/>
              <w:jc w:val="center"/>
              <w:rPr>
                <w:rFonts w:ascii="Corbel" w:hAnsi="Corbel"/>
                <w:sz w:val="24"/>
                <w:szCs w:val="24"/>
              </w:rPr>
            </w:pPr>
            <w:r w:rsidRPr="009F5E76">
              <w:rPr>
                <w:rFonts w:ascii="Corbel" w:hAnsi="Corbel"/>
                <w:sz w:val="24"/>
                <w:szCs w:val="24"/>
              </w:rPr>
              <w:t>(%)</w:t>
            </w:r>
          </w:p>
        </w:tc>
        <w:tc>
          <w:tcPr>
            <w:tcW w:w="1224" w:type="dxa"/>
            <w:shd w:val="clear" w:color="auto" w:fill="F7CAAC" w:themeFill="accent2" w:themeFillTint="66"/>
            <w:tcMar>
              <w:top w:w="72" w:type="dxa"/>
              <w:left w:w="144" w:type="dxa"/>
              <w:bottom w:w="72" w:type="dxa"/>
              <w:right w:w="144" w:type="dxa"/>
            </w:tcMar>
            <w:hideMark/>
          </w:tcPr>
          <w:p w14:paraId="3EB3650B" w14:textId="77777777" w:rsidR="00F9682F" w:rsidRPr="009F5E76" w:rsidRDefault="00F9682F" w:rsidP="005E01DB">
            <w:pPr>
              <w:spacing w:after="0" w:line="240" w:lineRule="auto"/>
              <w:jc w:val="center"/>
              <w:rPr>
                <w:rFonts w:ascii="Corbel" w:hAnsi="Corbel"/>
                <w:b/>
                <w:bCs/>
                <w:sz w:val="24"/>
                <w:szCs w:val="24"/>
              </w:rPr>
            </w:pPr>
            <w:r w:rsidRPr="009F5E76">
              <w:rPr>
                <w:rFonts w:ascii="Corbel" w:hAnsi="Corbel"/>
                <w:b/>
                <w:bCs/>
                <w:sz w:val="24"/>
                <w:szCs w:val="24"/>
              </w:rPr>
              <w:t>2018</w:t>
            </w:r>
          </w:p>
          <w:p w14:paraId="03381CDF" w14:textId="77777777" w:rsidR="00F9682F" w:rsidRPr="009F5E76" w:rsidRDefault="00F9682F" w:rsidP="005E01DB">
            <w:pPr>
              <w:spacing w:after="0" w:line="240" w:lineRule="auto"/>
              <w:jc w:val="center"/>
              <w:rPr>
                <w:rFonts w:ascii="Corbel" w:hAnsi="Corbel"/>
                <w:sz w:val="24"/>
                <w:szCs w:val="24"/>
              </w:rPr>
            </w:pPr>
            <w:r w:rsidRPr="009F5E76">
              <w:rPr>
                <w:rFonts w:ascii="Corbel" w:hAnsi="Corbel"/>
                <w:sz w:val="24"/>
                <w:szCs w:val="24"/>
              </w:rPr>
              <w:t>(%)</w:t>
            </w:r>
          </w:p>
        </w:tc>
      </w:tr>
      <w:tr w:rsidR="00F9682F" w:rsidRPr="00675C5D" w14:paraId="1D70E4A2" w14:textId="77777777" w:rsidTr="00516A89">
        <w:trPr>
          <w:trHeight w:val="362"/>
        </w:trPr>
        <w:tc>
          <w:tcPr>
            <w:tcW w:w="2951" w:type="dxa"/>
            <w:shd w:val="clear" w:color="auto" w:fill="auto"/>
            <w:tcMar>
              <w:top w:w="72" w:type="dxa"/>
              <w:left w:w="144" w:type="dxa"/>
              <w:bottom w:w="72" w:type="dxa"/>
              <w:right w:w="144" w:type="dxa"/>
            </w:tcMar>
            <w:hideMark/>
          </w:tcPr>
          <w:p w14:paraId="2A5F16FA" w14:textId="77777777" w:rsidR="00F9682F" w:rsidRPr="009E5F82" w:rsidRDefault="00F9682F" w:rsidP="005E01DB">
            <w:pPr>
              <w:spacing w:after="0" w:line="240" w:lineRule="auto"/>
              <w:ind w:hanging="8"/>
              <w:rPr>
                <w:rFonts w:ascii="Corbel" w:hAnsi="Corbel"/>
                <w:sz w:val="24"/>
                <w:szCs w:val="24"/>
              </w:rPr>
            </w:pPr>
            <w:r w:rsidRPr="009E5F82">
              <w:rPr>
                <w:rFonts w:ascii="Corbel" w:hAnsi="Corbel"/>
                <w:sz w:val="24"/>
                <w:szCs w:val="24"/>
              </w:rPr>
              <w:t>Mean Gender Bonus Gap</w:t>
            </w:r>
          </w:p>
        </w:tc>
        <w:tc>
          <w:tcPr>
            <w:tcW w:w="1223" w:type="dxa"/>
            <w:shd w:val="clear" w:color="auto" w:fill="auto"/>
            <w:tcMar>
              <w:top w:w="72" w:type="dxa"/>
              <w:left w:w="144" w:type="dxa"/>
              <w:bottom w:w="72" w:type="dxa"/>
              <w:right w:w="144" w:type="dxa"/>
            </w:tcMar>
            <w:hideMark/>
          </w:tcPr>
          <w:p w14:paraId="1D012DB1" w14:textId="77777777" w:rsidR="00F9682F" w:rsidRPr="00745BBE" w:rsidRDefault="00F9682F" w:rsidP="005E01DB">
            <w:pPr>
              <w:spacing w:after="0" w:line="240" w:lineRule="auto"/>
              <w:ind w:left="360" w:hanging="360"/>
              <w:jc w:val="center"/>
              <w:rPr>
                <w:rFonts w:ascii="Corbel" w:hAnsi="Corbel"/>
                <w:sz w:val="24"/>
                <w:szCs w:val="24"/>
              </w:rPr>
            </w:pPr>
            <w:r w:rsidRPr="00745BBE">
              <w:rPr>
                <w:rFonts w:ascii="Corbel" w:hAnsi="Corbel"/>
                <w:sz w:val="24"/>
                <w:szCs w:val="24"/>
              </w:rPr>
              <w:t>35.3</w:t>
            </w:r>
          </w:p>
        </w:tc>
        <w:tc>
          <w:tcPr>
            <w:tcW w:w="1223" w:type="dxa"/>
            <w:shd w:val="clear" w:color="auto" w:fill="auto"/>
            <w:tcMar>
              <w:top w:w="72" w:type="dxa"/>
              <w:left w:w="144" w:type="dxa"/>
              <w:bottom w:w="72" w:type="dxa"/>
              <w:right w:w="144" w:type="dxa"/>
            </w:tcMar>
            <w:hideMark/>
          </w:tcPr>
          <w:p w14:paraId="5142B3F8" w14:textId="16414B5D" w:rsidR="00F9682F" w:rsidRPr="00745BBE" w:rsidRDefault="00F9682F" w:rsidP="005E01DB">
            <w:pPr>
              <w:spacing w:after="0" w:line="240" w:lineRule="auto"/>
              <w:ind w:left="360" w:hanging="360"/>
              <w:jc w:val="center"/>
              <w:rPr>
                <w:rFonts w:ascii="Corbel" w:hAnsi="Corbel"/>
                <w:sz w:val="24"/>
                <w:szCs w:val="24"/>
              </w:rPr>
            </w:pPr>
            <w:r w:rsidRPr="00745BBE">
              <w:rPr>
                <w:rFonts w:ascii="Corbel" w:hAnsi="Corbel"/>
                <w:sz w:val="24"/>
                <w:szCs w:val="24"/>
              </w:rPr>
              <w:t>4.5</w:t>
            </w:r>
          </w:p>
        </w:tc>
        <w:tc>
          <w:tcPr>
            <w:tcW w:w="1223" w:type="dxa"/>
            <w:shd w:val="clear" w:color="auto" w:fill="auto"/>
            <w:tcMar>
              <w:top w:w="72" w:type="dxa"/>
              <w:left w:w="144" w:type="dxa"/>
              <w:bottom w:w="72" w:type="dxa"/>
              <w:right w:w="144" w:type="dxa"/>
            </w:tcMar>
            <w:hideMark/>
          </w:tcPr>
          <w:p w14:paraId="06FF14AD" w14:textId="77777777" w:rsidR="00F9682F" w:rsidRPr="00745BBE" w:rsidRDefault="00F9682F" w:rsidP="005E01DB">
            <w:pPr>
              <w:spacing w:after="0" w:line="240" w:lineRule="auto"/>
              <w:ind w:left="360" w:hanging="360"/>
              <w:jc w:val="center"/>
              <w:rPr>
                <w:rFonts w:ascii="Corbel" w:hAnsi="Corbel"/>
                <w:sz w:val="24"/>
                <w:szCs w:val="24"/>
              </w:rPr>
            </w:pPr>
            <w:r w:rsidRPr="00745BBE">
              <w:rPr>
                <w:rFonts w:ascii="Corbel" w:hAnsi="Corbel"/>
                <w:sz w:val="24"/>
                <w:szCs w:val="24"/>
              </w:rPr>
              <w:t>2.6</w:t>
            </w:r>
          </w:p>
        </w:tc>
        <w:tc>
          <w:tcPr>
            <w:tcW w:w="1223" w:type="dxa"/>
            <w:shd w:val="clear" w:color="auto" w:fill="auto"/>
            <w:tcMar>
              <w:top w:w="72" w:type="dxa"/>
              <w:left w:w="144" w:type="dxa"/>
              <w:bottom w:w="72" w:type="dxa"/>
              <w:right w:w="144" w:type="dxa"/>
            </w:tcMar>
            <w:hideMark/>
          </w:tcPr>
          <w:p w14:paraId="02C8F3B0" w14:textId="77777777" w:rsidR="00F9682F" w:rsidRPr="00745BBE" w:rsidRDefault="00F9682F" w:rsidP="005E01DB">
            <w:pPr>
              <w:spacing w:after="0" w:line="240" w:lineRule="auto"/>
              <w:ind w:left="360" w:hanging="360"/>
              <w:jc w:val="center"/>
              <w:rPr>
                <w:rFonts w:ascii="Corbel" w:hAnsi="Corbel"/>
                <w:sz w:val="24"/>
                <w:szCs w:val="24"/>
              </w:rPr>
            </w:pPr>
            <w:r w:rsidRPr="00745BBE">
              <w:rPr>
                <w:rFonts w:ascii="Corbel" w:hAnsi="Corbel"/>
                <w:sz w:val="24"/>
                <w:szCs w:val="24"/>
              </w:rPr>
              <w:t>25.6</w:t>
            </w:r>
          </w:p>
        </w:tc>
        <w:tc>
          <w:tcPr>
            <w:tcW w:w="1224" w:type="dxa"/>
            <w:shd w:val="clear" w:color="auto" w:fill="auto"/>
            <w:tcMar>
              <w:top w:w="72" w:type="dxa"/>
              <w:left w:w="144" w:type="dxa"/>
              <w:bottom w:w="72" w:type="dxa"/>
              <w:right w:w="144" w:type="dxa"/>
            </w:tcMar>
            <w:hideMark/>
          </w:tcPr>
          <w:p w14:paraId="72395B4F" w14:textId="77777777" w:rsidR="00F9682F" w:rsidRPr="00745BBE" w:rsidRDefault="00F9682F" w:rsidP="005E01DB">
            <w:pPr>
              <w:spacing w:after="0" w:line="240" w:lineRule="auto"/>
              <w:ind w:left="360" w:hanging="360"/>
              <w:jc w:val="center"/>
              <w:rPr>
                <w:rFonts w:ascii="Corbel" w:hAnsi="Corbel"/>
                <w:sz w:val="24"/>
                <w:szCs w:val="24"/>
              </w:rPr>
            </w:pPr>
            <w:r w:rsidRPr="00745BBE">
              <w:rPr>
                <w:rFonts w:ascii="Corbel" w:hAnsi="Corbel"/>
                <w:sz w:val="24"/>
                <w:szCs w:val="24"/>
              </w:rPr>
              <w:t>25.7</w:t>
            </w:r>
          </w:p>
        </w:tc>
      </w:tr>
      <w:tr w:rsidR="00F9682F" w:rsidRPr="00675C5D" w14:paraId="2694E61C" w14:textId="77777777" w:rsidTr="00516A89">
        <w:trPr>
          <w:trHeight w:val="362"/>
        </w:trPr>
        <w:tc>
          <w:tcPr>
            <w:tcW w:w="2951" w:type="dxa"/>
            <w:shd w:val="clear" w:color="auto" w:fill="auto"/>
            <w:tcMar>
              <w:top w:w="72" w:type="dxa"/>
              <w:left w:w="144" w:type="dxa"/>
              <w:bottom w:w="72" w:type="dxa"/>
              <w:right w:w="144" w:type="dxa"/>
            </w:tcMar>
            <w:hideMark/>
          </w:tcPr>
          <w:p w14:paraId="0EFFD9DF" w14:textId="77777777" w:rsidR="00F9682F" w:rsidRPr="009E5F82" w:rsidRDefault="00F9682F" w:rsidP="005E01DB">
            <w:pPr>
              <w:spacing w:after="0" w:line="240" w:lineRule="auto"/>
              <w:ind w:left="-8" w:firstLine="8"/>
              <w:rPr>
                <w:rFonts w:ascii="Corbel" w:hAnsi="Corbel"/>
                <w:sz w:val="24"/>
                <w:szCs w:val="24"/>
              </w:rPr>
            </w:pPr>
            <w:r w:rsidRPr="009E5F82">
              <w:rPr>
                <w:rFonts w:ascii="Corbel" w:hAnsi="Corbel"/>
                <w:sz w:val="24"/>
                <w:szCs w:val="24"/>
              </w:rPr>
              <w:t>Median Gender Bonus Gap</w:t>
            </w:r>
          </w:p>
        </w:tc>
        <w:tc>
          <w:tcPr>
            <w:tcW w:w="1223" w:type="dxa"/>
            <w:shd w:val="clear" w:color="auto" w:fill="auto"/>
            <w:tcMar>
              <w:top w:w="72" w:type="dxa"/>
              <w:left w:w="144" w:type="dxa"/>
              <w:bottom w:w="72" w:type="dxa"/>
              <w:right w:w="144" w:type="dxa"/>
            </w:tcMar>
            <w:hideMark/>
          </w:tcPr>
          <w:p w14:paraId="0855EA46" w14:textId="77777777" w:rsidR="00F9682F" w:rsidRPr="00745BBE" w:rsidRDefault="00F9682F" w:rsidP="005E01DB">
            <w:pPr>
              <w:spacing w:after="0" w:line="240" w:lineRule="auto"/>
              <w:ind w:left="360" w:hanging="360"/>
              <w:jc w:val="center"/>
              <w:rPr>
                <w:rFonts w:ascii="Corbel" w:hAnsi="Corbel"/>
                <w:sz w:val="24"/>
                <w:szCs w:val="24"/>
              </w:rPr>
            </w:pPr>
            <w:r w:rsidRPr="00745BBE">
              <w:rPr>
                <w:rFonts w:ascii="Corbel" w:hAnsi="Corbel"/>
                <w:sz w:val="24"/>
                <w:szCs w:val="24"/>
              </w:rPr>
              <w:t>0.0</w:t>
            </w:r>
          </w:p>
        </w:tc>
        <w:tc>
          <w:tcPr>
            <w:tcW w:w="1223" w:type="dxa"/>
            <w:shd w:val="clear" w:color="auto" w:fill="auto"/>
            <w:tcMar>
              <w:top w:w="72" w:type="dxa"/>
              <w:left w:w="144" w:type="dxa"/>
              <w:bottom w:w="72" w:type="dxa"/>
              <w:right w:w="144" w:type="dxa"/>
            </w:tcMar>
            <w:hideMark/>
          </w:tcPr>
          <w:p w14:paraId="630943FD" w14:textId="0D7535FE" w:rsidR="00F9682F" w:rsidRPr="00745BBE" w:rsidRDefault="00F9682F" w:rsidP="005E01DB">
            <w:pPr>
              <w:spacing w:after="0" w:line="240" w:lineRule="auto"/>
              <w:jc w:val="center"/>
              <w:rPr>
                <w:rFonts w:ascii="Corbel" w:hAnsi="Corbel"/>
                <w:sz w:val="24"/>
                <w:szCs w:val="24"/>
              </w:rPr>
            </w:pPr>
            <w:r w:rsidRPr="00745BBE">
              <w:rPr>
                <w:rFonts w:ascii="Corbel" w:hAnsi="Corbel"/>
                <w:sz w:val="24"/>
                <w:szCs w:val="24"/>
              </w:rPr>
              <w:t>0.0</w:t>
            </w:r>
          </w:p>
        </w:tc>
        <w:tc>
          <w:tcPr>
            <w:tcW w:w="1223" w:type="dxa"/>
            <w:shd w:val="clear" w:color="auto" w:fill="auto"/>
            <w:tcMar>
              <w:top w:w="72" w:type="dxa"/>
              <w:left w:w="144" w:type="dxa"/>
              <w:bottom w:w="72" w:type="dxa"/>
              <w:right w:w="144" w:type="dxa"/>
            </w:tcMar>
            <w:hideMark/>
          </w:tcPr>
          <w:p w14:paraId="75822277" w14:textId="77777777" w:rsidR="00F9682F" w:rsidRPr="00745BBE" w:rsidRDefault="00F9682F" w:rsidP="005E01DB">
            <w:pPr>
              <w:spacing w:after="0" w:line="240" w:lineRule="auto"/>
              <w:jc w:val="center"/>
              <w:rPr>
                <w:rFonts w:ascii="Corbel" w:hAnsi="Corbel"/>
                <w:sz w:val="24"/>
                <w:szCs w:val="24"/>
              </w:rPr>
            </w:pPr>
            <w:r w:rsidRPr="00745BBE">
              <w:rPr>
                <w:rFonts w:ascii="Corbel" w:hAnsi="Corbel"/>
                <w:sz w:val="24"/>
                <w:szCs w:val="24"/>
              </w:rPr>
              <w:t>15.7</w:t>
            </w:r>
          </w:p>
        </w:tc>
        <w:tc>
          <w:tcPr>
            <w:tcW w:w="1223" w:type="dxa"/>
            <w:shd w:val="clear" w:color="auto" w:fill="auto"/>
            <w:tcMar>
              <w:top w:w="72" w:type="dxa"/>
              <w:left w:w="144" w:type="dxa"/>
              <w:bottom w:w="72" w:type="dxa"/>
              <w:right w:w="144" w:type="dxa"/>
            </w:tcMar>
            <w:hideMark/>
          </w:tcPr>
          <w:p w14:paraId="1C711C1B" w14:textId="77777777" w:rsidR="00F9682F" w:rsidRPr="00745BBE" w:rsidRDefault="00F9682F" w:rsidP="005E01DB">
            <w:pPr>
              <w:spacing w:after="0" w:line="240" w:lineRule="auto"/>
              <w:jc w:val="center"/>
              <w:rPr>
                <w:rFonts w:ascii="Corbel" w:hAnsi="Corbel"/>
                <w:sz w:val="24"/>
                <w:szCs w:val="24"/>
              </w:rPr>
            </w:pPr>
            <w:r w:rsidRPr="00745BBE">
              <w:rPr>
                <w:rFonts w:ascii="Corbel" w:hAnsi="Corbel"/>
                <w:sz w:val="24"/>
                <w:szCs w:val="24"/>
              </w:rPr>
              <w:t>50</w:t>
            </w:r>
          </w:p>
        </w:tc>
        <w:tc>
          <w:tcPr>
            <w:tcW w:w="1224" w:type="dxa"/>
            <w:shd w:val="clear" w:color="auto" w:fill="auto"/>
            <w:tcMar>
              <w:top w:w="72" w:type="dxa"/>
              <w:left w:w="144" w:type="dxa"/>
              <w:bottom w:w="72" w:type="dxa"/>
              <w:right w:w="144" w:type="dxa"/>
            </w:tcMar>
            <w:hideMark/>
          </w:tcPr>
          <w:p w14:paraId="3A4FE870" w14:textId="77777777" w:rsidR="00F9682F" w:rsidRPr="00745BBE" w:rsidRDefault="00F9682F" w:rsidP="005E01DB">
            <w:pPr>
              <w:spacing w:after="0" w:line="240" w:lineRule="auto"/>
              <w:jc w:val="center"/>
              <w:rPr>
                <w:rFonts w:ascii="Corbel" w:hAnsi="Corbel"/>
                <w:sz w:val="24"/>
                <w:szCs w:val="24"/>
              </w:rPr>
            </w:pPr>
            <w:r w:rsidRPr="00745BBE">
              <w:rPr>
                <w:rFonts w:ascii="Corbel" w:hAnsi="Corbel"/>
                <w:sz w:val="24"/>
                <w:szCs w:val="24"/>
              </w:rPr>
              <w:t>0.0</w:t>
            </w:r>
          </w:p>
        </w:tc>
      </w:tr>
    </w:tbl>
    <w:p w14:paraId="4564F452" w14:textId="5E9E75AC" w:rsidR="00F9682F" w:rsidRDefault="002F3E80" w:rsidP="00F9682F">
      <w:pPr>
        <w:rPr>
          <w:rFonts w:ascii="Corbel" w:hAnsi="Corbel"/>
          <w:sz w:val="24"/>
          <w:szCs w:val="24"/>
        </w:rPr>
      </w:pPr>
      <w:r w:rsidRPr="00C216EE">
        <w:rPr>
          <w:rFonts w:ascii="Corbel" w:hAnsi="Corbel"/>
          <w:noProof/>
          <w:sz w:val="24"/>
          <w:szCs w:val="24"/>
        </w:rPr>
        <mc:AlternateContent>
          <mc:Choice Requires="wps">
            <w:drawing>
              <wp:anchor distT="45720" distB="45720" distL="114300" distR="114300" simplePos="0" relativeHeight="251672594" behindDoc="0" locked="0" layoutInCell="1" allowOverlap="1" wp14:anchorId="3455E0E4" wp14:editId="00152932">
                <wp:simplePos x="0" y="0"/>
                <wp:positionH relativeFrom="margin">
                  <wp:align>right</wp:align>
                </wp:positionH>
                <wp:positionV relativeFrom="paragraph">
                  <wp:posOffset>1901190</wp:posOffset>
                </wp:positionV>
                <wp:extent cx="4162425" cy="1404620"/>
                <wp:effectExtent l="0" t="0" r="9525"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noFill/>
                          <a:miter lim="800000"/>
                          <a:headEnd/>
                          <a:tailEnd/>
                        </a:ln>
                      </wps:spPr>
                      <wps:txbx>
                        <w:txbxContent>
                          <w:p w14:paraId="11D509A3" w14:textId="3296A742" w:rsidR="002F3E80" w:rsidRPr="00C216EE" w:rsidRDefault="002F3E80" w:rsidP="002F3E80">
                            <w:pPr>
                              <w:spacing w:after="0" w:line="240" w:lineRule="auto"/>
                              <w:jc w:val="right"/>
                              <w:rPr>
                                <w:sz w:val="20"/>
                                <w:szCs w:val="20"/>
                              </w:rPr>
                            </w:pPr>
                            <w:r w:rsidRPr="00C216EE">
                              <w:rPr>
                                <w:sz w:val="20"/>
                                <w:szCs w:val="20"/>
                              </w:rPr>
                              <w:t>Figure 1</w:t>
                            </w:r>
                            <w:r>
                              <w:rPr>
                                <w:sz w:val="20"/>
                                <w:szCs w:val="20"/>
                              </w:rPr>
                              <w:t>7</w:t>
                            </w:r>
                            <w:r w:rsidRPr="00C216EE">
                              <w:rPr>
                                <w:sz w:val="20"/>
                                <w:szCs w:val="20"/>
                              </w:rPr>
                              <w:t xml:space="preserve"> –</w:t>
                            </w:r>
                            <w:r>
                              <w:rPr>
                                <w:sz w:val="20"/>
                                <w:szCs w:val="20"/>
                              </w:rPr>
                              <w:t>bonus distribution,</w:t>
                            </w:r>
                            <w:r w:rsidRPr="00C216EE">
                              <w:rPr>
                                <w:sz w:val="20"/>
                                <w:szCs w:val="20"/>
                              </w:rPr>
                              <w:t xml:space="preserve"> </w:t>
                            </w:r>
                            <w:r>
                              <w:rPr>
                                <w:sz w:val="20"/>
                                <w:szCs w:val="20"/>
                              </w:rPr>
                              <w:t xml:space="preserve">2018 - </w:t>
                            </w:r>
                            <w:r w:rsidRPr="00C216EE">
                              <w:rPr>
                                <w:sz w:val="20"/>
                                <w:szCs w:val="20"/>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5E0E4" id="_x0000_s1042" type="#_x0000_t202" style="position:absolute;margin-left:276.55pt;margin-top:149.7pt;width:327.75pt;height:110.6pt;z-index:25167259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" stroked="f">
                <v:textbox style="mso-fit-shape-to-text:t">
                  <w:txbxContent>
                    <w:p w14:paraId="11D509A3" w14:textId="3296A742" w:rsidR="002F3E80" w:rsidRPr="00C216EE" w:rsidRDefault="002F3E80" w:rsidP="002F3E80">
                      <w:pPr>
                        <w:spacing w:after="0" w:line="240" w:lineRule="auto"/>
                        <w:jc w:val="right"/>
                        <w:rPr>
                          <w:sz w:val="20"/>
                          <w:szCs w:val="20"/>
                        </w:rPr>
                      </w:pPr>
                      <w:r w:rsidRPr="00C216EE">
                        <w:rPr>
                          <w:sz w:val="20"/>
                          <w:szCs w:val="20"/>
                        </w:rPr>
                        <w:t>Figure 1</w:t>
                      </w:r>
                      <w:r>
                        <w:rPr>
                          <w:sz w:val="20"/>
                          <w:szCs w:val="20"/>
                        </w:rPr>
                        <w:t>7</w:t>
                      </w:r>
                      <w:r w:rsidRPr="00C216EE">
                        <w:rPr>
                          <w:sz w:val="20"/>
                          <w:szCs w:val="20"/>
                        </w:rPr>
                        <w:t xml:space="preserve"> –</w:t>
                      </w:r>
                      <w:r>
                        <w:rPr>
                          <w:sz w:val="20"/>
                          <w:szCs w:val="20"/>
                        </w:rPr>
                        <w:t>bonus distribution,</w:t>
                      </w:r>
                      <w:r w:rsidRPr="00C216EE">
                        <w:rPr>
                          <w:sz w:val="20"/>
                          <w:szCs w:val="20"/>
                        </w:rPr>
                        <w:t xml:space="preserve"> </w:t>
                      </w:r>
                      <w:r>
                        <w:rPr>
                          <w:sz w:val="20"/>
                          <w:szCs w:val="20"/>
                        </w:rPr>
                        <w:t xml:space="preserve">2018 - </w:t>
                      </w:r>
                      <w:r w:rsidRPr="00C216EE">
                        <w:rPr>
                          <w:sz w:val="20"/>
                          <w:szCs w:val="20"/>
                        </w:rPr>
                        <w:t>2022</w:t>
                      </w:r>
                    </w:p>
                  </w:txbxContent>
                </v:textbox>
                <w10:wrap type="square" anchorx="margin"/>
              </v:shape>
            </w:pict>
          </mc:Fallback>
        </mc:AlternateContent>
      </w:r>
      <w:r w:rsidR="007C77FB" w:rsidRPr="00C216EE">
        <w:rPr>
          <w:rFonts w:ascii="Corbel" w:hAnsi="Corbel"/>
          <w:noProof/>
          <w:sz w:val="24"/>
          <w:szCs w:val="24"/>
        </w:rPr>
        <mc:AlternateContent>
          <mc:Choice Requires="wps">
            <w:drawing>
              <wp:anchor distT="45720" distB="45720" distL="114300" distR="114300" simplePos="0" relativeHeight="251670546" behindDoc="0" locked="0" layoutInCell="1" allowOverlap="1" wp14:anchorId="163CC647" wp14:editId="7C5E620A">
                <wp:simplePos x="0" y="0"/>
                <wp:positionH relativeFrom="margin">
                  <wp:posOffset>1581150</wp:posOffset>
                </wp:positionH>
                <wp:positionV relativeFrom="paragraph">
                  <wp:posOffset>62865</wp:posOffset>
                </wp:positionV>
                <wp:extent cx="4162425" cy="1404620"/>
                <wp:effectExtent l="0" t="0" r="9525"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noFill/>
                          <a:miter lim="800000"/>
                          <a:headEnd/>
                          <a:tailEnd/>
                        </a:ln>
                      </wps:spPr>
                      <wps:txbx>
                        <w:txbxContent>
                          <w:p w14:paraId="2BC2FEBC" w14:textId="30329BCB" w:rsidR="007C77FB" w:rsidRPr="00C216EE" w:rsidRDefault="007C77FB" w:rsidP="00DF6BFF">
                            <w:pPr>
                              <w:spacing w:after="0" w:line="240" w:lineRule="auto"/>
                              <w:jc w:val="right"/>
                              <w:rPr>
                                <w:sz w:val="20"/>
                                <w:szCs w:val="20"/>
                              </w:rPr>
                            </w:pPr>
                            <w:r w:rsidRPr="00C216EE">
                              <w:rPr>
                                <w:sz w:val="20"/>
                                <w:szCs w:val="20"/>
                              </w:rPr>
                              <w:t>Figure 1</w:t>
                            </w:r>
                            <w:r>
                              <w:rPr>
                                <w:sz w:val="20"/>
                                <w:szCs w:val="20"/>
                              </w:rPr>
                              <w:t>6</w:t>
                            </w:r>
                            <w:r w:rsidRPr="00C216EE">
                              <w:rPr>
                                <w:sz w:val="20"/>
                                <w:szCs w:val="20"/>
                              </w:rPr>
                              <w:t xml:space="preserve"> – </w:t>
                            </w:r>
                            <w:r w:rsidR="00100060">
                              <w:rPr>
                                <w:sz w:val="20"/>
                                <w:szCs w:val="20"/>
                              </w:rPr>
                              <w:t>gender bonus gaps</w:t>
                            </w:r>
                            <w:r w:rsidRPr="00C216EE">
                              <w:rPr>
                                <w:sz w:val="20"/>
                                <w:szCs w:val="20"/>
                              </w:rPr>
                              <w:t xml:space="preserve"> </w:t>
                            </w:r>
                            <w:r w:rsidR="00100060">
                              <w:rPr>
                                <w:sz w:val="20"/>
                                <w:szCs w:val="20"/>
                              </w:rPr>
                              <w:t xml:space="preserve">2018 - </w:t>
                            </w:r>
                            <w:r w:rsidRPr="00C216EE">
                              <w:rPr>
                                <w:sz w:val="20"/>
                                <w:szCs w:val="20"/>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CC647" id="_x0000_s1043" type="#_x0000_t202" style="position:absolute;margin-left:124.5pt;margin-top:4.95pt;width:327.75pt;height:110.6pt;z-index:2516705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" stroked="f">
                <v:textbox style="mso-fit-shape-to-text:t">
                  <w:txbxContent>
                    <w:p w14:paraId="2BC2FEBC" w14:textId="30329BCB" w:rsidR="007C77FB" w:rsidRPr="00C216EE" w:rsidRDefault="007C77FB" w:rsidP="00DF6BFF">
                      <w:pPr>
                        <w:spacing w:after="0" w:line="240" w:lineRule="auto"/>
                        <w:jc w:val="right"/>
                        <w:rPr>
                          <w:sz w:val="20"/>
                          <w:szCs w:val="20"/>
                        </w:rPr>
                      </w:pPr>
                      <w:r w:rsidRPr="00C216EE">
                        <w:rPr>
                          <w:sz w:val="20"/>
                          <w:szCs w:val="20"/>
                        </w:rPr>
                        <w:t>Figure 1</w:t>
                      </w:r>
                      <w:r>
                        <w:rPr>
                          <w:sz w:val="20"/>
                          <w:szCs w:val="20"/>
                        </w:rPr>
                        <w:t>6</w:t>
                      </w:r>
                      <w:r w:rsidRPr="00C216EE">
                        <w:rPr>
                          <w:sz w:val="20"/>
                          <w:szCs w:val="20"/>
                        </w:rPr>
                        <w:t xml:space="preserve"> – </w:t>
                      </w:r>
                      <w:r w:rsidR="00100060">
                        <w:rPr>
                          <w:sz w:val="20"/>
                          <w:szCs w:val="20"/>
                        </w:rPr>
                        <w:t>gender bonus gaps</w:t>
                      </w:r>
                      <w:r w:rsidRPr="00C216EE">
                        <w:rPr>
                          <w:sz w:val="20"/>
                          <w:szCs w:val="20"/>
                        </w:rPr>
                        <w:t xml:space="preserve"> </w:t>
                      </w:r>
                      <w:r w:rsidR="00100060">
                        <w:rPr>
                          <w:sz w:val="20"/>
                          <w:szCs w:val="20"/>
                        </w:rPr>
                        <w:t xml:space="preserve">2018 - </w:t>
                      </w:r>
                      <w:r w:rsidRPr="00C216EE">
                        <w:rPr>
                          <w:sz w:val="20"/>
                          <w:szCs w:val="20"/>
                        </w:rPr>
                        <w:t>2022</w:t>
                      </w:r>
                    </w:p>
                  </w:txbxContent>
                </v:textbox>
                <w10:wrap type="square" anchorx="margin"/>
              </v:shape>
            </w:pict>
          </mc:Fallback>
        </mc:AlternateContent>
      </w:r>
    </w:p>
    <w:tbl>
      <w:tblPr>
        <w:tblW w:w="9072" w:type="dxa"/>
        <w:tblBorders>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77"/>
        <w:gridCol w:w="1276"/>
        <w:gridCol w:w="1134"/>
        <w:gridCol w:w="1276"/>
        <w:gridCol w:w="1154"/>
        <w:gridCol w:w="1255"/>
      </w:tblGrid>
      <w:tr w:rsidR="00F9682F" w:rsidRPr="00356434" w14:paraId="1C4EDC4B" w14:textId="77777777" w:rsidTr="00516A89">
        <w:trPr>
          <w:trHeight w:val="504"/>
        </w:trPr>
        <w:tc>
          <w:tcPr>
            <w:tcW w:w="2977" w:type="dxa"/>
            <w:tcBorders>
              <w:bottom w:val="single" w:sz="4" w:space="0" w:color="auto"/>
            </w:tcBorders>
            <w:shd w:val="clear" w:color="auto" w:fill="auto"/>
            <w:tcMar>
              <w:top w:w="72" w:type="dxa"/>
              <w:left w:w="144" w:type="dxa"/>
              <w:bottom w:w="72" w:type="dxa"/>
              <w:right w:w="144" w:type="dxa"/>
            </w:tcMar>
            <w:hideMark/>
          </w:tcPr>
          <w:p w14:paraId="4CFDCC46" w14:textId="77777777" w:rsidR="00F9682F" w:rsidRPr="00356434" w:rsidRDefault="00F9682F" w:rsidP="005E01DB">
            <w:pPr>
              <w:rPr>
                <w:rFonts w:ascii="Corbel" w:hAnsi="Corbel"/>
                <w:sz w:val="24"/>
                <w:szCs w:val="24"/>
              </w:rPr>
            </w:pPr>
          </w:p>
        </w:tc>
        <w:tc>
          <w:tcPr>
            <w:tcW w:w="1276" w:type="dxa"/>
            <w:tcBorders>
              <w:top w:val="single" w:sz="4" w:space="0" w:color="auto"/>
            </w:tcBorders>
            <w:shd w:val="clear" w:color="auto" w:fill="F7CAAC" w:themeFill="accent2" w:themeFillTint="66"/>
            <w:tcMar>
              <w:top w:w="72" w:type="dxa"/>
              <w:left w:w="144" w:type="dxa"/>
              <w:bottom w:w="72" w:type="dxa"/>
              <w:right w:w="144" w:type="dxa"/>
            </w:tcMar>
            <w:hideMark/>
          </w:tcPr>
          <w:p w14:paraId="3F927524" w14:textId="77777777" w:rsidR="00F9682F" w:rsidRPr="00DF7C61" w:rsidRDefault="00F9682F" w:rsidP="005E01DB">
            <w:pPr>
              <w:spacing w:after="0" w:line="240" w:lineRule="auto"/>
              <w:jc w:val="center"/>
              <w:rPr>
                <w:rFonts w:ascii="Corbel" w:hAnsi="Corbel"/>
                <w:b/>
                <w:bCs/>
                <w:sz w:val="24"/>
                <w:szCs w:val="24"/>
              </w:rPr>
            </w:pPr>
            <w:r w:rsidRPr="00356434">
              <w:rPr>
                <w:rFonts w:ascii="Corbel" w:hAnsi="Corbel"/>
                <w:b/>
                <w:bCs/>
                <w:sz w:val="24"/>
                <w:szCs w:val="24"/>
              </w:rPr>
              <w:t>2022</w:t>
            </w:r>
          </w:p>
          <w:p w14:paraId="70A4CC81" w14:textId="77777777" w:rsidR="00F9682F" w:rsidRPr="00356434" w:rsidRDefault="00F9682F" w:rsidP="005E01DB">
            <w:pPr>
              <w:spacing w:after="0" w:line="240" w:lineRule="auto"/>
              <w:jc w:val="center"/>
              <w:rPr>
                <w:rFonts w:ascii="Corbel" w:hAnsi="Corbel"/>
                <w:b/>
                <w:bCs/>
                <w:sz w:val="24"/>
                <w:szCs w:val="24"/>
              </w:rPr>
            </w:pPr>
            <w:r w:rsidRPr="00DF7C61">
              <w:rPr>
                <w:rFonts w:ascii="Corbel" w:hAnsi="Corbel"/>
                <w:b/>
                <w:bCs/>
                <w:sz w:val="24"/>
                <w:szCs w:val="24"/>
              </w:rPr>
              <w:t>(%)</w:t>
            </w:r>
          </w:p>
        </w:tc>
        <w:tc>
          <w:tcPr>
            <w:tcW w:w="1134" w:type="dxa"/>
            <w:tcBorders>
              <w:top w:val="single" w:sz="4" w:space="0" w:color="auto"/>
            </w:tcBorders>
            <w:shd w:val="clear" w:color="auto" w:fill="F7CAAC" w:themeFill="accent2" w:themeFillTint="66"/>
            <w:tcMar>
              <w:top w:w="72" w:type="dxa"/>
              <w:left w:w="144" w:type="dxa"/>
              <w:bottom w:w="72" w:type="dxa"/>
              <w:right w:w="144" w:type="dxa"/>
            </w:tcMar>
            <w:hideMark/>
          </w:tcPr>
          <w:p w14:paraId="7D465650" w14:textId="77777777" w:rsidR="00F9682F" w:rsidRPr="00DF7C61" w:rsidRDefault="00F9682F" w:rsidP="005E01DB">
            <w:pPr>
              <w:spacing w:after="0" w:line="240" w:lineRule="auto"/>
              <w:jc w:val="center"/>
              <w:rPr>
                <w:rFonts w:ascii="Corbel" w:hAnsi="Corbel"/>
                <w:b/>
                <w:bCs/>
                <w:sz w:val="24"/>
                <w:szCs w:val="24"/>
              </w:rPr>
            </w:pPr>
            <w:r w:rsidRPr="00356434">
              <w:rPr>
                <w:rFonts w:ascii="Corbel" w:hAnsi="Corbel"/>
                <w:b/>
                <w:bCs/>
                <w:sz w:val="24"/>
                <w:szCs w:val="24"/>
              </w:rPr>
              <w:t>2021</w:t>
            </w:r>
          </w:p>
          <w:p w14:paraId="0E6A392C" w14:textId="77777777" w:rsidR="00F9682F" w:rsidRPr="00356434" w:rsidRDefault="00F9682F" w:rsidP="005E01DB">
            <w:pPr>
              <w:spacing w:after="0" w:line="240" w:lineRule="auto"/>
              <w:jc w:val="center"/>
              <w:rPr>
                <w:rFonts w:ascii="Corbel" w:hAnsi="Corbel"/>
                <w:b/>
                <w:bCs/>
                <w:sz w:val="24"/>
                <w:szCs w:val="24"/>
              </w:rPr>
            </w:pPr>
            <w:r w:rsidRPr="00DF7C61">
              <w:rPr>
                <w:rFonts w:ascii="Corbel" w:hAnsi="Corbel"/>
                <w:b/>
                <w:bCs/>
                <w:sz w:val="24"/>
                <w:szCs w:val="24"/>
              </w:rPr>
              <w:t>(%)</w:t>
            </w:r>
          </w:p>
        </w:tc>
        <w:tc>
          <w:tcPr>
            <w:tcW w:w="1276" w:type="dxa"/>
            <w:tcBorders>
              <w:top w:val="single" w:sz="4" w:space="0" w:color="auto"/>
            </w:tcBorders>
            <w:shd w:val="clear" w:color="auto" w:fill="F7CAAC" w:themeFill="accent2" w:themeFillTint="66"/>
            <w:tcMar>
              <w:top w:w="72" w:type="dxa"/>
              <w:left w:w="144" w:type="dxa"/>
              <w:bottom w:w="72" w:type="dxa"/>
              <w:right w:w="144" w:type="dxa"/>
            </w:tcMar>
            <w:hideMark/>
          </w:tcPr>
          <w:p w14:paraId="1C1FF513" w14:textId="77777777" w:rsidR="00F9682F" w:rsidRPr="00DF7C61" w:rsidRDefault="00F9682F" w:rsidP="005E01DB">
            <w:pPr>
              <w:spacing w:after="0" w:line="240" w:lineRule="auto"/>
              <w:jc w:val="center"/>
              <w:rPr>
                <w:rFonts w:ascii="Corbel" w:hAnsi="Corbel"/>
                <w:b/>
                <w:bCs/>
                <w:sz w:val="24"/>
                <w:szCs w:val="24"/>
              </w:rPr>
            </w:pPr>
            <w:r w:rsidRPr="00356434">
              <w:rPr>
                <w:rFonts w:ascii="Corbel" w:hAnsi="Corbel"/>
                <w:b/>
                <w:bCs/>
                <w:sz w:val="24"/>
                <w:szCs w:val="24"/>
              </w:rPr>
              <w:t>2020</w:t>
            </w:r>
          </w:p>
          <w:p w14:paraId="11099433" w14:textId="77777777" w:rsidR="00F9682F" w:rsidRPr="00356434" w:rsidRDefault="00F9682F" w:rsidP="005E01DB">
            <w:pPr>
              <w:spacing w:after="0" w:line="240" w:lineRule="auto"/>
              <w:jc w:val="center"/>
              <w:rPr>
                <w:rFonts w:ascii="Corbel" w:hAnsi="Corbel"/>
                <w:b/>
                <w:bCs/>
                <w:sz w:val="24"/>
                <w:szCs w:val="24"/>
              </w:rPr>
            </w:pPr>
            <w:r w:rsidRPr="00DF7C61">
              <w:rPr>
                <w:rFonts w:ascii="Corbel" w:hAnsi="Corbel"/>
                <w:b/>
                <w:bCs/>
                <w:sz w:val="24"/>
                <w:szCs w:val="24"/>
              </w:rPr>
              <w:t>(%)</w:t>
            </w:r>
          </w:p>
        </w:tc>
        <w:tc>
          <w:tcPr>
            <w:tcW w:w="1154" w:type="dxa"/>
            <w:tcBorders>
              <w:top w:val="single" w:sz="4" w:space="0" w:color="auto"/>
            </w:tcBorders>
            <w:shd w:val="clear" w:color="auto" w:fill="F7CAAC" w:themeFill="accent2" w:themeFillTint="66"/>
            <w:tcMar>
              <w:top w:w="72" w:type="dxa"/>
              <w:left w:w="144" w:type="dxa"/>
              <w:bottom w:w="72" w:type="dxa"/>
              <w:right w:w="144" w:type="dxa"/>
            </w:tcMar>
            <w:hideMark/>
          </w:tcPr>
          <w:p w14:paraId="37872824" w14:textId="77777777" w:rsidR="00F9682F" w:rsidRPr="00DF7C61" w:rsidRDefault="00F9682F" w:rsidP="005E01DB">
            <w:pPr>
              <w:spacing w:after="0" w:line="240" w:lineRule="auto"/>
              <w:jc w:val="center"/>
              <w:rPr>
                <w:rFonts w:ascii="Corbel" w:hAnsi="Corbel"/>
                <w:b/>
                <w:bCs/>
                <w:sz w:val="24"/>
                <w:szCs w:val="24"/>
              </w:rPr>
            </w:pPr>
            <w:r w:rsidRPr="00356434">
              <w:rPr>
                <w:rFonts w:ascii="Corbel" w:hAnsi="Corbel"/>
                <w:b/>
                <w:bCs/>
                <w:sz w:val="24"/>
                <w:szCs w:val="24"/>
              </w:rPr>
              <w:t>2019</w:t>
            </w:r>
          </w:p>
          <w:p w14:paraId="571BCF15" w14:textId="77777777" w:rsidR="00F9682F" w:rsidRPr="00356434" w:rsidRDefault="00F9682F" w:rsidP="005E01DB">
            <w:pPr>
              <w:spacing w:after="0" w:line="240" w:lineRule="auto"/>
              <w:jc w:val="center"/>
              <w:rPr>
                <w:rFonts w:ascii="Corbel" w:hAnsi="Corbel"/>
                <w:b/>
                <w:bCs/>
                <w:sz w:val="24"/>
                <w:szCs w:val="24"/>
              </w:rPr>
            </w:pPr>
            <w:r w:rsidRPr="00DF7C61">
              <w:rPr>
                <w:rFonts w:ascii="Corbel" w:hAnsi="Corbel"/>
                <w:b/>
                <w:bCs/>
                <w:sz w:val="24"/>
                <w:szCs w:val="24"/>
              </w:rPr>
              <w:t>(%)</w:t>
            </w:r>
          </w:p>
        </w:tc>
        <w:tc>
          <w:tcPr>
            <w:tcW w:w="1255" w:type="dxa"/>
            <w:tcBorders>
              <w:top w:val="single" w:sz="4" w:space="0" w:color="auto"/>
            </w:tcBorders>
            <w:shd w:val="clear" w:color="auto" w:fill="F7CAAC" w:themeFill="accent2" w:themeFillTint="66"/>
            <w:tcMar>
              <w:top w:w="72" w:type="dxa"/>
              <w:left w:w="144" w:type="dxa"/>
              <w:bottom w:w="72" w:type="dxa"/>
              <w:right w:w="144" w:type="dxa"/>
            </w:tcMar>
            <w:hideMark/>
          </w:tcPr>
          <w:p w14:paraId="60E448F2" w14:textId="77777777" w:rsidR="00F9682F" w:rsidRPr="00DF7C61" w:rsidRDefault="00F9682F" w:rsidP="005E01DB">
            <w:pPr>
              <w:spacing w:after="0" w:line="240" w:lineRule="auto"/>
              <w:jc w:val="center"/>
              <w:rPr>
                <w:rFonts w:ascii="Corbel" w:hAnsi="Corbel"/>
                <w:b/>
                <w:bCs/>
                <w:sz w:val="24"/>
                <w:szCs w:val="24"/>
              </w:rPr>
            </w:pPr>
            <w:r w:rsidRPr="00356434">
              <w:rPr>
                <w:rFonts w:ascii="Corbel" w:hAnsi="Corbel"/>
                <w:b/>
                <w:bCs/>
                <w:sz w:val="24"/>
                <w:szCs w:val="24"/>
              </w:rPr>
              <w:t>2018</w:t>
            </w:r>
          </w:p>
          <w:p w14:paraId="30CF5078" w14:textId="77777777" w:rsidR="00F9682F" w:rsidRPr="00356434" w:rsidRDefault="00F9682F" w:rsidP="005E01DB">
            <w:pPr>
              <w:spacing w:after="0" w:line="240" w:lineRule="auto"/>
              <w:jc w:val="center"/>
              <w:rPr>
                <w:rFonts w:ascii="Corbel" w:hAnsi="Corbel"/>
                <w:b/>
                <w:bCs/>
                <w:sz w:val="24"/>
                <w:szCs w:val="24"/>
              </w:rPr>
            </w:pPr>
            <w:r w:rsidRPr="00DF7C61">
              <w:rPr>
                <w:rFonts w:ascii="Corbel" w:hAnsi="Corbel"/>
                <w:b/>
                <w:bCs/>
                <w:sz w:val="24"/>
                <w:szCs w:val="24"/>
              </w:rPr>
              <w:t>(%)</w:t>
            </w:r>
          </w:p>
        </w:tc>
      </w:tr>
      <w:tr w:rsidR="00F9682F" w:rsidRPr="00356434" w14:paraId="659033E5" w14:textId="77777777" w:rsidTr="00516A89">
        <w:trPr>
          <w:trHeight w:val="590"/>
        </w:trPr>
        <w:tc>
          <w:tcPr>
            <w:tcW w:w="2977" w:type="dxa"/>
            <w:tcBorders>
              <w:top w:val="single" w:sz="4" w:space="0" w:color="auto"/>
              <w:left w:val="single" w:sz="4" w:space="0" w:color="auto"/>
            </w:tcBorders>
            <w:shd w:val="clear" w:color="auto" w:fill="auto"/>
            <w:tcMar>
              <w:top w:w="72" w:type="dxa"/>
              <w:left w:w="144" w:type="dxa"/>
              <w:bottom w:w="72" w:type="dxa"/>
              <w:right w:w="144" w:type="dxa"/>
            </w:tcMar>
            <w:hideMark/>
          </w:tcPr>
          <w:p w14:paraId="1865F4C7" w14:textId="77777777" w:rsidR="00F9682F" w:rsidRPr="00356434" w:rsidRDefault="00F9682F" w:rsidP="00516A89">
            <w:pPr>
              <w:spacing w:after="0"/>
              <w:rPr>
                <w:rFonts w:ascii="Corbel" w:hAnsi="Corbel"/>
                <w:sz w:val="24"/>
                <w:szCs w:val="24"/>
              </w:rPr>
            </w:pPr>
            <w:r w:rsidRPr="00356434">
              <w:rPr>
                <w:rFonts w:ascii="Corbel" w:hAnsi="Corbel"/>
                <w:sz w:val="24"/>
                <w:szCs w:val="24"/>
              </w:rPr>
              <w:t>Male employees receiving a bonus</w:t>
            </w:r>
          </w:p>
        </w:tc>
        <w:tc>
          <w:tcPr>
            <w:tcW w:w="1276" w:type="dxa"/>
            <w:shd w:val="clear" w:color="auto" w:fill="auto"/>
            <w:tcMar>
              <w:top w:w="72" w:type="dxa"/>
              <w:left w:w="144" w:type="dxa"/>
              <w:bottom w:w="72" w:type="dxa"/>
              <w:right w:w="144" w:type="dxa"/>
            </w:tcMar>
            <w:hideMark/>
          </w:tcPr>
          <w:p w14:paraId="1A6C2D5E" w14:textId="77777777" w:rsidR="00F9682F" w:rsidRPr="00356434" w:rsidRDefault="00F9682F" w:rsidP="00516A89">
            <w:pPr>
              <w:spacing w:after="0" w:line="240" w:lineRule="auto"/>
              <w:jc w:val="center"/>
              <w:rPr>
                <w:rFonts w:ascii="Corbel" w:hAnsi="Corbel"/>
                <w:sz w:val="24"/>
                <w:szCs w:val="24"/>
              </w:rPr>
            </w:pPr>
            <w:r w:rsidRPr="00356434">
              <w:rPr>
                <w:rFonts w:ascii="Corbel" w:hAnsi="Corbel"/>
                <w:sz w:val="24"/>
                <w:szCs w:val="24"/>
              </w:rPr>
              <w:t>2.8</w:t>
            </w:r>
          </w:p>
          <w:p w14:paraId="43153608" w14:textId="77777777" w:rsidR="00F9682F" w:rsidRPr="00356434" w:rsidRDefault="00F9682F" w:rsidP="00516A89">
            <w:pPr>
              <w:spacing w:after="0" w:line="240" w:lineRule="auto"/>
              <w:jc w:val="center"/>
              <w:rPr>
                <w:rFonts w:ascii="Corbel" w:hAnsi="Corbel"/>
                <w:sz w:val="24"/>
                <w:szCs w:val="24"/>
              </w:rPr>
            </w:pPr>
            <w:r w:rsidRPr="00356434">
              <w:rPr>
                <w:rFonts w:ascii="Corbel" w:hAnsi="Corbel"/>
                <w:sz w:val="24"/>
                <w:szCs w:val="24"/>
              </w:rPr>
              <w:t>(n=37)</w:t>
            </w:r>
          </w:p>
        </w:tc>
        <w:tc>
          <w:tcPr>
            <w:tcW w:w="1134" w:type="dxa"/>
            <w:shd w:val="clear" w:color="auto" w:fill="auto"/>
            <w:tcMar>
              <w:top w:w="72" w:type="dxa"/>
              <w:left w:w="144" w:type="dxa"/>
              <w:bottom w:w="72" w:type="dxa"/>
              <w:right w:w="144" w:type="dxa"/>
            </w:tcMar>
            <w:hideMark/>
          </w:tcPr>
          <w:p w14:paraId="1FC6A44E" w14:textId="77777777" w:rsidR="00F9682F" w:rsidRPr="00356434" w:rsidRDefault="00F9682F" w:rsidP="00516A89">
            <w:pPr>
              <w:spacing w:after="0"/>
              <w:jc w:val="center"/>
              <w:rPr>
                <w:rFonts w:ascii="Corbel" w:hAnsi="Corbel"/>
                <w:sz w:val="24"/>
                <w:szCs w:val="24"/>
              </w:rPr>
            </w:pPr>
            <w:r w:rsidRPr="00356434">
              <w:rPr>
                <w:rFonts w:ascii="Corbel" w:hAnsi="Corbel"/>
                <w:sz w:val="24"/>
                <w:szCs w:val="24"/>
              </w:rPr>
              <w:t>5.9</w:t>
            </w:r>
          </w:p>
        </w:tc>
        <w:tc>
          <w:tcPr>
            <w:tcW w:w="1276" w:type="dxa"/>
            <w:shd w:val="clear" w:color="auto" w:fill="auto"/>
            <w:tcMar>
              <w:top w:w="72" w:type="dxa"/>
              <w:left w:w="144" w:type="dxa"/>
              <w:bottom w:w="72" w:type="dxa"/>
              <w:right w:w="144" w:type="dxa"/>
            </w:tcMar>
            <w:hideMark/>
          </w:tcPr>
          <w:p w14:paraId="2299FE2F" w14:textId="77777777" w:rsidR="00F9682F" w:rsidRPr="00356434" w:rsidRDefault="00F9682F" w:rsidP="00516A89">
            <w:pPr>
              <w:spacing w:after="0"/>
              <w:jc w:val="center"/>
              <w:rPr>
                <w:rFonts w:ascii="Corbel" w:hAnsi="Corbel"/>
                <w:sz w:val="24"/>
                <w:szCs w:val="24"/>
              </w:rPr>
            </w:pPr>
            <w:r w:rsidRPr="00356434">
              <w:rPr>
                <w:rFonts w:ascii="Corbel" w:hAnsi="Corbel"/>
                <w:sz w:val="24"/>
                <w:szCs w:val="24"/>
              </w:rPr>
              <w:t>1.5</w:t>
            </w:r>
          </w:p>
        </w:tc>
        <w:tc>
          <w:tcPr>
            <w:tcW w:w="1154" w:type="dxa"/>
            <w:shd w:val="clear" w:color="auto" w:fill="auto"/>
            <w:tcMar>
              <w:top w:w="72" w:type="dxa"/>
              <w:left w:w="144" w:type="dxa"/>
              <w:bottom w:w="72" w:type="dxa"/>
              <w:right w:w="144" w:type="dxa"/>
            </w:tcMar>
            <w:hideMark/>
          </w:tcPr>
          <w:p w14:paraId="08B90D3F" w14:textId="77777777" w:rsidR="00F9682F" w:rsidRPr="00356434" w:rsidRDefault="00F9682F" w:rsidP="00516A89">
            <w:pPr>
              <w:spacing w:after="0"/>
              <w:jc w:val="center"/>
              <w:rPr>
                <w:rFonts w:ascii="Corbel" w:hAnsi="Corbel"/>
                <w:sz w:val="24"/>
                <w:szCs w:val="24"/>
              </w:rPr>
            </w:pPr>
            <w:r w:rsidRPr="00356434">
              <w:rPr>
                <w:rFonts w:ascii="Corbel" w:hAnsi="Corbel"/>
                <w:sz w:val="24"/>
                <w:szCs w:val="24"/>
              </w:rPr>
              <w:t>1.3</w:t>
            </w:r>
          </w:p>
        </w:tc>
        <w:tc>
          <w:tcPr>
            <w:tcW w:w="1255" w:type="dxa"/>
            <w:shd w:val="clear" w:color="auto" w:fill="auto"/>
            <w:tcMar>
              <w:top w:w="72" w:type="dxa"/>
              <w:left w:w="144" w:type="dxa"/>
              <w:bottom w:w="72" w:type="dxa"/>
              <w:right w:w="144" w:type="dxa"/>
            </w:tcMar>
            <w:hideMark/>
          </w:tcPr>
          <w:p w14:paraId="3E3DD7E5" w14:textId="77777777" w:rsidR="00F9682F" w:rsidRPr="00356434" w:rsidRDefault="00F9682F" w:rsidP="00516A89">
            <w:pPr>
              <w:spacing w:after="0"/>
              <w:jc w:val="center"/>
              <w:rPr>
                <w:rFonts w:ascii="Corbel" w:hAnsi="Corbel"/>
                <w:sz w:val="24"/>
                <w:szCs w:val="24"/>
              </w:rPr>
            </w:pPr>
            <w:r w:rsidRPr="00356434">
              <w:rPr>
                <w:rFonts w:ascii="Corbel" w:hAnsi="Corbel"/>
                <w:sz w:val="24"/>
                <w:szCs w:val="24"/>
              </w:rPr>
              <w:t>1.0</w:t>
            </w:r>
          </w:p>
        </w:tc>
      </w:tr>
      <w:tr w:rsidR="00F9682F" w:rsidRPr="00356434" w14:paraId="104550D1" w14:textId="77777777" w:rsidTr="00516A89">
        <w:trPr>
          <w:trHeight w:val="584"/>
        </w:trPr>
        <w:tc>
          <w:tcPr>
            <w:tcW w:w="2977" w:type="dxa"/>
            <w:tcBorders>
              <w:top w:val="single" w:sz="4" w:space="0" w:color="auto"/>
              <w:left w:val="single" w:sz="4" w:space="0" w:color="auto"/>
            </w:tcBorders>
            <w:shd w:val="clear" w:color="auto" w:fill="auto"/>
            <w:tcMar>
              <w:top w:w="72" w:type="dxa"/>
              <w:left w:w="144" w:type="dxa"/>
              <w:bottom w:w="72" w:type="dxa"/>
              <w:right w:w="144" w:type="dxa"/>
            </w:tcMar>
            <w:hideMark/>
          </w:tcPr>
          <w:p w14:paraId="6823D1DF" w14:textId="77777777" w:rsidR="00F9682F" w:rsidRPr="00356434" w:rsidRDefault="00F9682F" w:rsidP="00516A89">
            <w:pPr>
              <w:spacing w:after="0"/>
              <w:rPr>
                <w:rFonts w:ascii="Corbel" w:hAnsi="Corbel"/>
                <w:sz w:val="24"/>
                <w:szCs w:val="24"/>
              </w:rPr>
            </w:pPr>
            <w:r w:rsidRPr="00356434">
              <w:rPr>
                <w:rFonts w:ascii="Corbel" w:hAnsi="Corbel"/>
                <w:sz w:val="24"/>
                <w:szCs w:val="24"/>
              </w:rPr>
              <w:t>Female employees receiving a bonus</w:t>
            </w:r>
          </w:p>
        </w:tc>
        <w:tc>
          <w:tcPr>
            <w:tcW w:w="1276" w:type="dxa"/>
            <w:shd w:val="clear" w:color="auto" w:fill="auto"/>
            <w:tcMar>
              <w:top w:w="72" w:type="dxa"/>
              <w:left w:w="144" w:type="dxa"/>
              <w:bottom w:w="72" w:type="dxa"/>
              <w:right w:w="144" w:type="dxa"/>
            </w:tcMar>
            <w:hideMark/>
          </w:tcPr>
          <w:p w14:paraId="4137579D" w14:textId="77777777" w:rsidR="00F9682F" w:rsidRPr="00356434" w:rsidRDefault="00F9682F" w:rsidP="00516A89">
            <w:pPr>
              <w:spacing w:after="0" w:line="240" w:lineRule="auto"/>
              <w:jc w:val="center"/>
              <w:rPr>
                <w:rFonts w:ascii="Corbel" w:hAnsi="Corbel"/>
                <w:sz w:val="24"/>
                <w:szCs w:val="24"/>
              </w:rPr>
            </w:pPr>
            <w:r w:rsidRPr="00356434">
              <w:rPr>
                <w:rFonts w:ascii="Corbel" w:hAnsi="Corbel"/>
                <w:sz w:val="24"/>
                <w:szCs w:val="24"/>
              </w:rPr>
              <w:t>3.5</w:t>
            </w:r>
          </w:p>
          <w:p w14:paraId="032908B1" w14:textId="77777777" w:rsidR="00F9682F" w:rsidRPr="00356434" w:rsidRDefault="00F9682F" w:rsidP="00516A89">
            <w:pPr>
              <w:spacing w:after="0" w:line="240" w:lineRule="auto"/>
              <w:jc w:val="center"/>
              <w:rPr>
                <w:rFonts w:ascii="Corbel" w:hAnsi="Corbel"/>
                <w:sz w:val="24"/>
                <w:szCs w:val="24"/>
              </w:rPr>
            </w:pPr>
            <w:r w:rsidRPr="00356434">
              <w:rPr>
                <w:rFonts w:ascii="Corbel" w:hAnsi="Corbel"/>
                <w:sz w:val="24"/>
                <w:szCs w:val="24"/>
              </w:rPr>
              <w:t>(n=58)</w:t>
            </w:r>
          </w:p>
        </w:tc>
        <w:tc>
          <w:tcPr>
            <w:tcW w:w="1134" w:type="dxa"/>
            <w:shd w:val="clear" w:color="auto" w:fill="auto"/>
            <w:tcMar>
              <w:top w:w="72" w:type="dxa"/>
              <w:left w:w="144" w:type="dxa"/>
              <w:bottom w:w="72" w:type="dxa"/>
              <w:right w:w="144" w:type="dxa"/>
            </w:tcMar>
            <w:hideMark/>
          </w:tcPr>
          <w:p w14:paraId="583F1BEE" w14:textId="77777777" w:rsidR="00F9682F" w:rsidRPr="00356434" w:rsidRDefault="00F9682F" w:rsidP="00516A89">
            <w:pPr>
              <w:spacing w:after="0"/>
              <w:jc w:val="center"/>
              <w:rPr>
                <w:rFonts w:ascii="Corbel" w:hAnsi="Corbel"/>
                <w:sz w:val="24"/>
                <w:szCs w:val="24"/>
              </w:rPr>
            </w:pPr>
            <w:r w:rsidRPr="00356434">
              <w:rPr>
                <w:rFonts w:ascii="Corbel" w:hAnsi="Corbel"/>
                <w:sz w:val="24"/>
                <w:szCs w:val="24"/>
              </w:rPr>
              <w:t>3.9</w:t>
            </w:r>
          </w:p>
        </w:tc>
        <w:tc>
          <w:tcPr>
            <w:tcW w:w="1276" w:type="dxa"/>
            <w:shd w:val="clear" w:color="auto" w:fill="auto"/>
            <w:tcMar>
              <w:top w:w="72" w:type="dxa"/>
              <w:left w:w="144" w:type="dxa"/>
              <w:bottom w:w="72" w:type="dxa"/>
              <w:right w:w="144" w:type="dxa"/>
            </w:tcMar>
            <w:hideMark/>
          </w:tcPr>
          <w:p w14:paraId="081F6B0F" w14:textId="77777777" w:rsidR="00F9682F" w:rsidRPr="00356434" w:rsidRDefault="00F9682F" w:rsidP="00516A89">
            <w:pPr>
              <w:spacing w:after="0"/>
              <w:jc w:val="center"/>
              <w:rPr>
                <w:rFonts w:ascii="Corbel" w:hAnsi="Corbel"/>
                <w:sz w:val="24"/>
                <w:szCs w:val="24"/>
              </w:rPr>
            </w:pPr>
            <w:r w:rsidRPr="00356434">
              <w:rPr>
                <w:rFonts w:ascii="Corbel" w:hAnsi="Corbel"/>
                <w:sz w:val="24"/>
                <w:szCs w:val="24"/>
              </w:rPr>
              <w:t>1.8</w:t>
            </w:r>
          </w:p>
        </w:tc>
        <w:tc>
          <w:tcPr>
            <w:tcW w:w="1154" w:type="dxa"/>
            <w:shd w:val="clear" w:color="auto" w:fill="auto"/>
            <w:tcMar>
              <w:top w:w="72" w:type="dxa"/>
              <w:left w:w="144" w:type="dxa"/>
              <w:bottom w:w="72" w:type="dxa"/>
              <w:right w:w="144" w:type="dxa"/>
            </w:tcMar>
            <w:hideMark/>
          </w:tcPr>
          <w:p w14:paraId="385AD0A7" w14:textId="77777777" w:rsidR="00F9682F" w:rsidRPr="00356434" w:rsidRDefault="00F9682F" w:rsidP="00516A89">
            <w:pPr>
              <w:spacing w:after="0"/>
              <w:jc w:val="center"/>
              <w:rPr>
                <w:rFonts w:ascii="Corbel" w:hAnsi="Corbel"/>
                <w:sz w:val="24"/>
                <w:szCs w:val="24"/>
              </w:rPr>
            </w:pPr>
            <w:r w:rsidRPr="00356434">
              <w:rPr>
                <w:rFonts w:ascii="Corbel" w:hAnsi="Corbel"/>
                <w:sz w:val="24"/>
                <w:szCs w:val="24"/>
              </w:rPr>
              <w:t>1.6</w:t>
            </w:r>
          </w:p>
        </w:tc>
        <w:tc>
          <w:tcPr>
            <w:tcW w:w="1255" w:type="dxa"/>
            <w:shd w:val="clear" w:color="auto" w:fill="auto"/>
            <w:tcMar>
              <w:top w:w="72" w:type="dxa"/>
              <w:left w:w="144" w:type="dxa"/>
              <w:bottom w:w="72" w:type="dxa"/>
              <w:right w:w="144" w:type="dxa"/>
            </w:tcMar>
            <w:hideMark/>
          </w:tcPr>
          <w:p w14:paraId="0F0364F9" w14:textId="77777777" w:rsidR="00F9682F" w:rsidRPr="00356434" w:rsidRDefault="00F9682F" w:rsidP="00516A89">
            <w:pPr>
              <w:spacing w:after="0"/>
              <w:jc w:val="center"/>
              <w:rPr>
                <w:rFonts w:ascii="Corbel" w:hAnsi="Corbel"/>
                <w:sz w:val="24"/>
                <w:szCs w:val="24"/>
              </w:rPr>
            </w:pPr>
            <w:r w:rsidRPr="00356434">
              <w:rPr>
                <w:rFonts w:ascii="Corbel" w:hAnsi="Corbel"/>
                <w:sz w:val="24"/>
                <w:szCs w:val="24"/>
              </w:rPr>
              <w:t>1.2</w:t>
            </w:r>
          </w:p>
        </w:tc>
      </w:tr>
    </w:tbl>
    <w:p w14:paraId="4E3A29C8" w14:textId="48256B9E" w:rsidR="00F9682F" w:rsidRDefault="00F9682F" w:rsidP="00F9682F">
      <w:pPr>
        <w:rPr>
          <w:rFonts w:ascii="Corbel" w:hAnsi="Corbel"/>
          <w:sz w:val="24"/>
          <w:szCs w:val="24"/>
        </w:rPr>
      </w:pPr>
    </w:p>
    <w:p w14:paraId="5AC0C63D" w14:textId="77777777" w:rsidR="002F3E80" w:rsidRDefault="002F3E80" w:rsidP="00220824">
      <w:pPr>
        <w:pStyle w:val="ListParagraph"/>
        <w:numPr>
          <w:ilvl w:val="0"/>
          <w:numId w:val="0"/>
        </w:numPr>
        <w:rPr>
          <w:color w:val="4472C4" w:themeColor="accent1"/>
          <w:sz w:val="24"/>
          <w:szCs w:val="24"/>
        </w:rPr>
      </w:pPr>
    </w:p>
    <w:p w14:paraId="21DBE0E4" w14:textId="589B5961" w:rsidR="0074075A" w:rsidRDefault="00220824" w:rsidP="00220824">
      <w:pPr>
        <w:pStyle w:val="ListParagraph"/>
        <w:numPr>
          <w:ilvl w:val="0"/>
          <w:numId w:val="0"/>
        </w:numPr>
        <w:rPr>
          <w:sz w:val="24"/>
          <w:szCs w:val="24"/>
        </w:rPr>
      </w:pPr>
      <w:r w:rsidRPr="00220824">
        <w:rPr>
          <w:color w:val="4472C4" w:themeColor="accent1"/>
          <w:sz w:val="24"/>
          <w:szCs w:val="24"/>
        </w:rPr>
        <w:lastRenderedPageBreak/>
        <w:t>Ethnicity pay gap</w:t>
      </w:r>
    </w:p>
    <w:p w14:paraId="7C3CE09F" w14:textId="35DE9BA6" w:rsidR="00220824" w:rsidRPr="003969BA" w:rsidRDefault="00220824" w:rsidP="00220824">
      <w:pPr>
        <w:pStyle w:val="ListParagraph"/>
        <w:numPr>
          <w:ilvl w:val="0"/>
          <w:numId w:val="0"/>
        </w:numPr>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2551"/>
        <w:gridCol w:w="2552"/>
      </w:tblGrid>
      <w:tr w:rsidR="008018B6" w:rsidRPr="008018B6" w14:paraId="78572781" w14:textId="77777777" w:rsidTr="002B5507">
        <w:trPr>
          <w:trHeight w:val="696"/>
        </w:trPr>
        <w:tc>
          <w:tcPr>
            <w:tcW w:w="3969" w:type="dxa"/>
            <w:tcBorders>
              <w:top w:val="nil"/>
              <w:left w:val="nil"/>
            </w:tcBorders>
            <w:shd w:val="clear" w:color="auto" w:fill="auto"/>
            <w:tcMar>
              <w:top w:w="15" w:type="dxa"/>
              <w:left w:w="108" w:type="dxa"/>
              <w:bottom w:w="0" w:type="dxa"/>
              <w:right w:w="108" w:type="dxa"/>
            </w:tcMar>
            <w:vAlign w:val="bottom"/>
            <w:hideMark/>
          </w:tcPr>
          <w:p w14:paraId="3538F1D7" w14:textId="77777777" w:rsidR="008018B6" w:rsidRPr="008018B6" w:rsidRDefault="008018B6" w:rsidP="008018B6">
            <w:pPr>
              <w:spacing w:after="0" w:line="240" w:lineRule="auto"/>
              <w:rPr>
                <w:rFonts w:ascii="Corbel" w:hAnsi="Corbel"/>
                <w:sz w:val="24"/>
                <w:szCs w:val="24"/>
              </w:rPr>
            </w:pPr>
          </w:p>
        </w:tc>
        <w:tc>
          <w:tcPr>
            <w:tcW w:w="2551" w:type="dxa"/>
            <w:shd w:val="clear" w:color="auto" w:fill="F7CAAC" w:themeFill="accent2" w:themeFillTint="66"/>
            <w:tcMar>
              <w:top w:w="15" w:type="dxa"/>
              <w:left w:w="108" w:type="dxa"/>
              <w:bottom w:w="0" w:type="dxa"/>
              <w:right w:w="108" w:type="dxa"/>
            </w:tcMar>
            <w:vAlign w:val="center"/>
            <w:hideMark/>
          </w:tcPr>
          <w:p w14:paraId="64A29C2C" w14:textId="77777777" w:rsidR="008018B6" w:rsidRPr="008018B6" w:rsidRDefault="008018B6" w:rsidP="008018B6">
            <w:pPr>
              <w:spacing w:after="0" w:line="240" w:lineRule="auto"/>
              <w:jc w:val="center"/>
              <w:rPr>
                <w:rFonts w:ascii="Corbel" w:hAnsi="Corbel"/>
                <w:b/>
                <w:bCs/>
                <w:sz w:val="24"/>
                <w:szCs w:val="24"/>
              </w:rPr>
            </w:pPr>
            <w:r w:rsidRPr="008018B6">
              <w:rPr>
                <w:rFonts w:ascii="Corbel" w:hAnsi="Corbel"/>
                <w:b/>
                <w:bCs/>
                <w:sz w:val="24"/>
                <w:szCs w:val="24"/>
              </w:rPr>
              <w:t>2022</w:t>
            </w:r>
          </w:p>
          <w:p w14:paraId="4D4E205F" w14:textId="77777777" w:rsidR="008018B6" w:rsidRPr="008018B6" w:rsidRDefault="008018B6" w:rsidP="008018B6">
            <w:pPr>
              <w:spacing w:after="0" w:line="240" w:lineRule="auto"/>
              <w:jc w:val="center"/>
              <w:rPr>
                <w:rFonts w:ascii="Corbel" w:hAnsi="Corbel"/>
                <w:b/>
                <w:bCs/>
                <w:sz w:val="24"/>
                <w:szCs w:val="24"/>
              </w:rPr>
            </w:pPr>
            <w:r w:rsidRPr="008018B6">
              <w:rPr>
                <w:rFonts w:ascii="Corbel" w:hAnsi="Corbel"/>
                <w:b/>
                <w:bCs/>
                <w:sz w:val="24"/>
                <w:szCs w:val="24"/>
              </w:rPr>
              <w:t>(%)</w:t>
            </w:r>
          </w:p>
        </w:tc>
        <w:tc>
          <w:tcPr>
            <w:tcW w:w="2552" w:type="dxa"/>
            <w:shd w:val="clear" w:color="auto" w:fill="F7CAAC" w:themeFill="accent2" w:themeFillTint="66"/>
            <w:tcMar>
              <w:top w:w="15" w:type="dxa"/>
              <w:left w:w="108" w:type="dxa"/>
              <w:bottom w:w="0" w:type="dxa"/>
              <w:right w:w="108" w:type="dxa"/>
            </w:tcMar>
            <w:vAlign w:val="center"/>
            <w:hideMark/>
          </w:tcPr>
          <w:p w14:paraId="493CB4ED" w14:textId="77777777" w:rsidR="008018B6" w:rsidRPr="008018B6" w:rsidRDefault="008018B6" w:rsidP="008018B6">
            <w:pPr>
              <w:spacing w:after="0" w:line="240" w:lineRule="auto"/>
              <w:jc w:val="center"/>
              <w:rPr>
                <w:rFonts w:ascii="Corbel" w:hAnsi="Corbel"/>
                <w:b/>
                <w:bCs/>
                <w:sz w:val="24"/>
                <w:szCs w:val="24"/>
              </w:rPr>
            </w:pPr>
            <w:r w:rsidRPr="008018B6">
              <w:rPr>
                <w:rFonts w:ascii="Corbel" w:hAnsi="Corbel"/>
                <w:b/>
                <w:bCs/>
                <w:sz w:val="24"/>
                <w:szCs w:val="24"/>
              </w:rPr>
              <w:t>2021</w:t>
            </w:r>
          </w:p>
          <w:p w14:paraId="38F5CED3" w14:textId="77777777" w:rsidR="008018B6" w:rsidRPr="008018B6" w:rsidRDefault="008018B6" w:rsidP="008018B6">
            <w:pPr>
              <w:spacing w:after="0" w:line="240" w:lineRule="auto"/>
              <w:jc w:val="center"/>
              <w:rPr>
                <w:rFonts w:ascii="Corbel" w:hAnsi="Corbel"/>
                <w:b/>
                <w:bCs/>
                <w:sz w:val="24"/>
                <w:szCs w:val="24"/>
              </w:rPr>
            </w:pPr>
            <w:r w:rsidRPr="008018B6">
              <w:rPr>
                <w:rFonts w:ascii="Corbel" w:hAnsi="Corbel"/>
                <w:b/>
                <w:bCs/>
                <w:sz w:val="24"/>
                <w:szCs w:val="24"/>
              </w:rPr>
              <w:t>(%)</w:t>
            </w:r>
          </w:p>
        </w:tc>
      </w:tr>
      <w:tr w:rsidR="008018B6" w:rsidRPr="008018B6" w14:paraId="337A54F1" w14:textId="77777777" w:rsidTr="002F3E80">
        <w:trPr>
          <w:trHeight w:val="475"/>
        </w:trPr>
        <w:tc>
          <w:tcPr>
            <w:tcW w:w="3969" w:type="dxa"/>
            <w:shd w:val="clear" w:color="auto" w:fill="auto"/>
            <w:tcMar>
              <w:top w:w="15" w:type="dxa"/>
              <w:left w:w="108" w:type="dxa"/>
              <w:bottom w:w="0" w:type="dxa"/>
              <w:right w:w="108" w:type="dxa"/>
            </w:tcMar>
            <w:vAlign w:val="center"/>
            <w:hideMark/>
          </w:tcPr>
          <w:p w14:paraId="4293682A" w14:textId="77777777" w:rsidR="008018B6" w:rsidRPr="008018B6" w:rsidRDefault="008018B6" w:rsidP="008018B6">
            <w:pPr>
              <w:spacing w:after="0" w:line="240" w:lineRule="auto"/>
              <w:rPr>
                <w:rFonts w:ascii="Corbel" w:hAnsi="Corbel"/>
                <w:sz w:val="24"/>
                <w:szCs w:val="24"/>
              </w:rPr>
            </w:pPr>
            <w:r w:rsidRPr="008018B6">
              <w:rPr>
                <w:rFonts w:ascii="Corbel" w:hAnsi="Corbel"/>
                <w:sz w:val="24"/>
                <w:szCs w:val="24"/>
              </w:rPr>
              <w:t>Ethnicity pay gap mean pay rate</w:t>
            </w:r>
          </w:p>
        </w:tc>
        <w:tc>
          <w:tcPr>
            <w:tcW w:w="2551" w:type="dxa"/>
            <w:shd w:val="clear" w:color="auto" w:fill="auto"/>
            <w:tcMar>
              <w:top w:w="15" w:type="dxa"/>
              <w:left w:w="108" w:type="dxa"/>
              <w:bottom w:w="0" w:type="dxa"/>
              <w:right w:w="108" w:type="dxa"/>
            </w:tcMar>
            <w:vAlign w:val="center"/>
            <w:hideMark/>
          </w:tcPr>
          <w:p w14:paraId="2C0FE71B" w14:textId="1B9D2AD7" w:rsidR="008018B6" w:rsidRPr="008018B6" w:rsidRDefault="008018B6" w:rsidP="008018B6">
            <w:pPr>
              <w:spacing w:after="0" w:line="240" w:lineRule="auto"/>
              <w:jc w:val="center"/>
              <w:rPr>
                <w:rFonts w:ascii="Corbel" w:hAnsi="Corbel"/>
                <w:sz w:val="24"/>
                <w:szCs w:val="24"/>
              </w:rPr>
            </w:pPr>
            <w:r w:rsidRPr="008018B6">
              <w:rPr>
                <w:rFonts w:ascii="Corbel" w:hAnsi="Corbel"/>
                <w:sz w:val="24"/>
                <w:szCs w:val="24"/>
              </w:rPr>
              <w:t>12.2</w:t>
            </w:r>
          </w:p>
        </w:tc>
        <w:tc>
          <w:tcPr>
            <w:tcW w:w="2552" w:type="dxa"/>
            <w:shd w:val="clear" w:color="auto" w:fill="auto"/>
            <w:tcMar>
              <w:top w:w="15" w:type="dxa"/>
              <w:left w:w="108" w:type="dxa"/>
              <w:bottom w:w="0" w:type="dxa"/>
              <w:right w:w="108" w:type="dxa"/>
            </w:tcMar>
            <w:vAlign w:val="center"/>
            <w:hideMark/>
          </w:tcPr>
          <w:p w14:paraId="7921B419" w14:textId="77777777" w:rsidR="008018B6" w:rsidRPr="008018B6" w:rsidRDefault="008018B6" w:rsidP="008018B6">
            <w:pPr>
              <w:spacing w:after="0" w:line="240" w:lineRule="auto"/>
              <w:jc w:val="center"/>
              <w:rPr>
                <w:rFonts w:ascii="Corbel" w:hAnsi="Corbel"/>
                <w:sz w:val="24"/>
                <w:szCs w:val="24"/>
              </w:rPr>
            </w:pPr>
            <w:r w:rsidRPr="008018B6">
              <w:rPr>
                <w:rFonts w:ascii="Corbel" w:hAnsi="Corbel"/>
                <w:sz w:val="24"/>
                <w:szCs w:val="24"/>
              </w:rPr>
              <w:t>12.6</w:t>
            </w:r>
          </w:p>
        </w:tc>
      </w:tr>
      <w:tr w:rsidR="008018B6" w:rsidRPr="008018B6" w14:paraId="2271D61F" w14:textId="77777777" w:rsidTr="002F3E80">
        <w:trPr>
          <w:trHeight w:val="475"/>
        </w:trPr>
        <w:tc>
          <w:tcPr>
            <w:tcW w:w="3969" w:type="dxa"/>
            <w:shd w:val="clear" w:color="auto" w:fill="auto"/>
            <w:tcMar>
              <w:top w:w="15" w:type="dxa"/>
              <w:left w:w="108" w:type="dxa"/>
              <w:bottom w:w="0" w:type="dxa"/>
              <w:right w:w="108" w:type="dxa"/>
            </w:tcMar>
            <w:vAlign w:val="center"/>
            <w:hideMark/>
          </w:tcPr>
          <w:p w14:paraId="77198175" w14:textId="77777777" w:rsidR="008018B6" w:rsidRPr="008018B6" w:rsidRDefault="008018B6" w:rsidP="008018B6">
            <w:pPr>
              <w:spacing w:after="0" w:line="240" w:lineRule="auto"/>
              <w:rPr>
                <w:rFonts w:ascii="Corbel" w:hAnsi="Corbel"/>
                <w:sz w:val="24"/>
                <w:szCs w:val="24"/>
              </w:rPr>
            </w:pPr>
            <w:r w:rsidRPr="008018B6">
              <w:rPr>
                <w:rFonts w:ascii="Corbel" w:hAnsi="Corbel"/>
                <w:sz w:val="24"/>
                <w:szCs w:val="24"/>
              </w:rPr>
              <w:t>Ethnicity pay gap median pay rate</w:t>
            </w:r>
          </w:p>
        </w:tc>
        <w:tc>
          <w:tcPr>
            <w:tcW w:w="2551" w:type="dxa"/>
            <w:shd w:val="clear" w:color="auto" w:fill="auto"/>
            <w:tcMar>
              <w:top w:w="15" w:type="dxa"/>
              <w:left w:w="108" w:type="dxa"/>
              <w:bottom w:w="0" w:type="dxa"/>
              <w:right w:w="108" w:type="dxa"/>
            </w:tcMar>
            <w:vAlign w:val="center"/>
            <w:hideMark/>
          </w:tcPr>
          <w:p w14:paraId="28885287" w14:textId="7597EB80" w:rsidR="008018B6" w:rsidRPr="008018B6" w:rsidRDefault="008018B6" w:rsidP="008018B6">
            <w:pPr>
              <w:spacing w:after="0" w:line="240" w:lineRule="auto"/>
              <w:jc w:val="center"/>
              <w:rPr>
                <w:rFonts w:ascii="Corbel" w:hAnsi="Corbel"/>
                <w:sz w:val="24"/>
                <w:szCs w:val="24"/>
              </w:rPr>
            </w:pPr>
            <w:r w:rsidRPr="008018B6">
              <w:rPr>
                <w:rFonts w:ascii="Corbel" w:hAnsi="Corbel"/>
                <w:sz w:val="24"/>
                <w:szCs w:val="24"/>
              </w:rPr>
              <w:t>15.0</w:t>
            </w:r>
          </w:p>
        </w:tc>
        <w:tc>
          <w:tcPr>
            <w:tcW w:w="2552" w:type="dxa"/>
            <w:shd w:val="clear" w:color="auto" w:fill="auto"/>
            <w:tcMar>
              <w:top w:w="15" w:type="dxa"/>
              <w:left w:w="108" w:type="dxa"/>
              <w:bottom w:w="0" w:type="dxa"/>
              <w:right w:w="108" w:type="dxa"/>
            </w:tcMar>
            <w:vAlign w:val="center"/>
            <w:hideMark/>
          </w:tcPr>
          <w:p w14:paraId="10D2C39C" w14:textId="77777777" w:rsidR="008018B6" w:rsidRPr="008018B6" w:rsidRDefault="008018B6" w:rsidP="008018B6">
            <w:pPr>
              <w:spacing w:after="0" w:line="240" w:lineRule="auto"/>
              <w:jc w:val="center"/>
              <w:rPr>
                <w:rFonts w:ascii="Corbel" w:hAnsi="Corbel"/>
                <w:sz w:val="24"/>
                <w:szCs w:val="24"/>
              </w:rPr>
            </w:pPr>
            <w:r w:rsidRPr="008018B6">
              <w:rPr>
                <w:rFonts w:ascii="Corbel" w:hAnsi="Corbel"/>
                <w:sz w:val="24"/>
                <w:szCs w:val="24"/>
              </w:rPr>
              <w:t>12.1</w:t>
            </w:r>
          </w:p>
        </w:tc>
      </w:tr>
    </w:tbl>
    <w:p w14:paraId="718751FC" w14:textId="7435E32E" w:rsidR="00BE32F7" w:rsidRDefault="00213F41" w:rsidP="00890B77">
      <w:pPr>
        <w:rPr>
          <w:rFonts w:ascii="Corbel" w:hAnsi="Corbel"/>
          <w:sz w:val="24"/>
          <w:szCs w:val="24"/>
        </w:rPr>
      </w:pPr>
      <w:r w:rsidRPr="00C216EE">
        <w:rPr>
          <w:rFonts w:ascii="Corbel" w:hAnsi="Corbel"/>
          <w:noProof/>
          <w:sz w:val="24"/>
          <w:szCs w:val="24"/>
        </w:rPr>
        <mc:AlternateContent>
          <mc:Choice Requires="wps">
            <w:drawing>
              <wp:anchor distT="45720" distB="45720" distL="114300" distR="114300" simplePos="0" relativeHeight="251674642" behindDoc="0" locked="0" layoutInCell="1" allowOverlap="1" wp14:anchorId="147B1039" wp14:editId="2D42F311">
                <wp:simplePos x="0" y="0"/>
                <wp:positionH relativeFrom="margin">
                  <wp:posOffset>2066925</wp:posOffset>
                </wp:positionH>
                <wp:positionV relativeFrom="paragraph">
                  <wp:posOffset>109855</wp:posOffset>
                </wp:positionV>
                <wp:extent cx="3667125" cy="255270"/>
                <wp:effectExtent l="0" t="0" r="9525"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5270"/>
                        </a:xfrm>
                        <a:prstGeom prst="rect">
                          <a:avLst/>
                        </a:prstGeom>
                        <a:solidFill>
                          <a:srgbClr val="FFFFFF"/>
                        </a:solidFill>
                        <a:ln w="9525">
                          <a:noFill/>
                          <a:miter lim="800000"/>
                          <a:headEnd/>
                          <a:tailEnd/>
                        </a:ln>
                      </wps:spPr>
                      <wps:txbx>
                        <w:txbxContent>
                          <w:p w14:paraId="0C0D3751" w14:textId="66B67139" w:rsidR="00213F41" w:rsidRPr="00C216EE" w:rsidRDefault="00213F41" w:rsidP="00213F41">
                            <w:pPr>
                              <w:spacing w:after="0" w:line="240" w:lineRule="auto"/>
                              <w:jc w:val="right"/>
                              <w:rPr>
                                <w:sz w:val="20"/>
                                <w:szCs w:val="20"/>
                              </w:rPr>
                            </w:pPr>
                            <w:r w:rsidRPr="00C216EE">
                              <w:rPr>
                                <w:sz w:val="20"/>
                                <w:szCs w:val="20"/>
                              </w:rPr>
                              <w:t>Figure 1</w:t>
                            </w:r>
                            <w:r w:rsidR="0049141E">
                              <w:rPr>
                                <w:sz w:val="20"/>
                                <w:szCs w:val="20"/>
                              </w:rPr>
                              <w:t>8</w:t>
                            </w:r>
                            <w:r w:rsidRPr="00C216EE">
                              <w:rPr>
                                <w:sz w:val="20"/>
                                <w:szCs w:val="20"/>
                              </w:rPr>
                              <w:t xml:space="preserve"> –</w:t>
                            </w:r>
                            <w:r w:rsidR="0049141E">
                              <w:rPr>
                                <w:sz w:val="20"/>
                                <w:szCs w:val="20"/>
                              </w:rPr>
                              <w:t>ethnicity pay gaps</w:t>
                            </w:r>
                            <w:r>
                              <w:rPr>
                                <w:sz w:val="20"/>
                                <w:szCs w:val="20"/>
                              </w:rPr>
                              <w:t>,</w:t>
                            </w:r>
                            <w:r w:rsidRPr="00C216EE">
                              <w:rPr>
                                <w:sz w:val="20"/>
                                <w:szCs w:val="20"/>
                              </w:rPr>
                              <w:t xml:space="preserve"> </w:t>
                            </w:r>
                            <w:r>
                              <w:rPr>
                                <w:sz w:val="20"/>
                                <w:szCs w:val="20"/>
                              </w:rPr>
                              <w:t>20</w:t>
                            </w:r>
                            <w:r w:rsidR="0049141E">
                              <w:rPr>
                                <w:sz w:val="20"/>
                                <w:szCs w:val="20"/>
                              </w:rPr>
                              <w:t>21</w:t>
                            </w:r>
                            <w:r>
                              <w:rPr>
                                <w:sz w:val="20"/>
                                <w:szCs w:val="20"/>
                              </w:rPr>
                              <w:t xml:space="preserve"> - </w:t>
                            </w:r>
                            <w:r w:rsidRPr="00C216EE">
                              <w:rPr>
                                <w:sz w:val="20"/>
                                <w:szCs w:val="20"/>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7B1039" id="_x0000_s1044" type="#_x0000_t202" style="position:absolute;margin-left:162.75pt;margin-top:8.65pt;width:288.75pt;height:20.1pt;z-index:2516746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" stroked="f">
                <v:textbox style="mso-fit-shape-to-text:t">
                  <w:txbxContent>
                    <w:p w14:paraId="0C0D3751" w14:textId="66B67139" w:rsidR="00213F41" w:rsidRPr="00C216EE" w:rsidRDefault="00213F41" w:rsidP="00213F41">
                      <w:pPr>
                        <w:spacing w:after="0" w:line="240" w:lineRule="auto"/>
                        <w:jc w:val="right"/>
                        <w:rPr>
                          <w:sz w:val="20"/>
                          <w:szCs w:val="20"/>
                        </w:rPr>
                      </w:pPr>
                      <w:r w:rsidRPr="00C216EE">
                        <w:rPr>
                          <w:sz w:val="20"/>
                          <w:szCs w:val="20"/>
                        </w:rPr>
                        <w:t>Figure 1</w:t>
                      </w:r>
                      <w:r w:rsidR="0049141E">
                        <w:rPr>
                          <w:sz w:val="20"/>
                          <w:szCs w:val="20"/>
                        </w:rPr>
                        <w:t>8</w:t>
                      </w:r>
                      <w:r w:rsidRPr="00C216EE">
                        <w:rPr>
                          <w:sz w:val="20"/>
                          <w:szCs w:val="20"/>
                        </w:rPr>
                        <w:t xml:space="preserve"> –</w:t>
                      </w:r>
                      <w:r w:rsidR="0049141E">
                        <w:rPr>
                          <w:sz w:val="20"/>
                          <w:szCs w:val="20"/>
                        </w:rPr>
                        <w:t>ethnicity pay gaps</w:t>
                      </w:r>
                      <w:r>
                        <w:rPr>
                          <w:sz w:val="20"/>
                          <w:szCs w:val="20"/>
                        </w:rPr>
                        <w:t>,</w:t>
                      </w:r>
                      <w:r w:rsidRPr="00C216EE">
                        <w:rPr>
                          <w:sz w:val="20"/>
                          <w:szCs w:val="20"/>
                        </w:rPr>
                        <w:t xml:space="preserve"> </w:t>
                      </w:r>
                      <w:r>
                        <w:rPr>
                          <w:sz w:val="20"/>
                          <w:szCs w:val="20"/>
                        </w:rPr>
                        <w:t>20</w:t>
                      </w:r>
                      <w:r w:rsidR="0049141E">
                        <w:rPr>
                          <w:sz w:val="20"/>
                          <w:szCs w:val="20"/>
                        </w:rPr>
                        <w:t>21</w:t>
                      </w:r>
                      <w:r>
                        <w:rPr>
                          <w:sz w:val="20"/>
                          <w:szCs w:val="20"/>
                        </w:rPr>
                        <w:t xml:space="preserve"> - </w:t>
                      </w:r>
                      <w:r w:rsidRPr="00C216EE">
                        <w:rPr>
                          <w:sz w:val="20"/>
                          <w:szCs w:val="20"/>
                        </w:rPr>
                        <w:t>2022</w:t>
                      </w:r>
                    </w:p>
                  </w:txbxContent>
                </v:textbox>
                <w10:wrap type="square" anchorx="margin"/>
              </v:shape>
            </w:pict>
          </mc:Fallback>
        </mc:AlternateContent>
      </w:r>
    </w:p>
    <w:p w14:paraId="0EB58B88" w14:textId="77777777" w:rsidR="0049141E" w:rsidRDefault="0049141E" w:rsidP="00890B77">
      <w:pPr>
        <w:rPr>
          <w:rFonts w:ascii="Corbel" w:hAnsi="Corbel"/>
          <w:sz w:val="24"/>
          <w:szCs w:val="24"/>
        </w:rPr>
      </w:pPr>
    </w:p>
    <w:p w14:paraId="53624CD8" w14:textId="744C1232" w:rsidR="00220824" w:rsidRDefault="0049141E" w:rsidP="00890B77">
      <w:pPr>
        <w:rPr>
          <w:rFonts w:ascii="Corbel" w:hAnsi="Corbel"/>
          <w:sz w:val="24"/>
          <w:szCs w:val="24"/>
        </w:rPr>
      </w:pPr>
      <w:r>
        <w:rPr>
          <w:rFonts w:ascii="Corbel" w:hAnsi="Corbel"/>
          <w:sz w:val="24"/>
          <w:szCs w:val="24"/>
        </w:rPr>
        <w:t>Figure 18 shows that in</w:t>
      </w:r>
      <w:r w:rsidR="0074075A" w:rsidRPr="003969BA">
        <w:rPr>
          <w:rFonts w:ascii="Corbel" w:hAnsi="Corbel"/>
          <w:sz w:val="24"/>
          <w:szCs w:val="24"/>
        </w:rPr>
        <w:t xml:space="preserve"> 2022, the mean ethnicity pay gap was 12.2%, a fall of 0.4 percentage points since 2021.  The median pay gap was 15%, an increase of 2.9 percentage points since 2021. </w:t>
      </w:r>
      <w:r w:rsidR="008D21E1">
        <w:rPr>
          <w:rFonts w:ascii="Corbel" w:hAnsi="Corbel"/>
          <w:sz w:val="24"/>
          <w:szCs w:val="24"/>
        </w:rPr>
        <w:t xml:space="preserve"> </w:t>
      </w:r>
    </w:p>
    <w:p w14:paraId="3AD55574" w14:textId="49809184" w:rsidR="008B702A" w:rsidRDefault="008B702A" w:rsidP="008B702A">
      <w:pPr>
        <w:pStyle w:val="ListParagraph"/>
        <w:numPr>
          <w:ilvl w:val="0"/>
          <w:numId w:val="0"/>
        </w:numPr>
        <w:rPr>
          <w:color w:val="4472C4" w:themeColor="accent1"/>
          <w:sz w:val="24"/>
          <w:szCs w:val="24"/>
        </w:rPr>
      </w:pPr>
      <w:r w:rsidRPr="008B702A">
        <w:rPr>
          <w:color w:val="4472C4" w:themeColor="accent1"/>
          <w:sz w:val="24"/>
          <w:szCs w:val="24"/>
        </w:rPr>
        <w:t>Ethnicity representation</w:t>
      </w:r>
    </w:p>
    <w:p w14:paraId="58834ED6" w14:textId="7CB47A4D" w:rsidR="008B702A" w:rsidRPr="008B702A" w:rsidRDefault="00FB2245" w:rsidP="008B702A">
      <w:pPr>
        <w:pStyle w:val="ListParagraph"/>
        <w:numPr>
          <w:ilvl w:val="0"/>
          <w:numId w:val="0"/>
        </w:numPr>
        <w:rPr>
          <w:color w:val="4472C4" w:themeColor="accent1"/>
          <w:sz w:val="24"/>
          <w:szCs w:val="24"/>
        </w:rPr>
      </w:pPr>
      <w:r>
        <w:rPr>
          <w:noProof/>
        </w:rPr>
        <w:drawing>
          <wp:anchor distT="0" distB="0" distL="114300" distR="114300" simplePos="0" relativeHeight="251675666" behindDoc="0" locked="0" layoutInCell="1" allowOverlap="1" wp14:anchorId="4E5E37C3" wp14:editId="4612DB1C">
            <wp:simplePos x="0" y="0"/>
            <wp:positionH relativeFrom="margin">
              <wp:align>left</wp:align>
            </wp:positionH>
            <wp:positionV relativeFrom="paragraph">
              <wp:posOffset>196215</wp:posOffset>
            </wp:positionV>
            <wp:extent cx="6000750" cy="3276600"/>
            <wp:effectExtent l="0" t="0" r="0" b="0"/>
            <wp:wrapSquare wrapText="bothSides"/>
            <wp:docPr id="198" name="Chart 198">
              <a:extLst xmlns:a="http://schemas.openxmlformats.org/drawingml/2006/main">
                <a:ext uri="{FF2B5EF4-FFF2-40B4-BE49-F238E27FC236}">
                  <a16:creationId xmlns:a16="http://schemas.microsoft.com/office/drawing/2014/main" id="{3B14B7FC-09B6-5432-46C0-D85E54B767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2CBB4EA7" w14:textId="01C631D2" w:rsidR="00FB2245" w:rsidRDefault="00FB2245" w:rsidP="00890B77">
      <w:pPr>
        <w:rPr>
          <w:rFonts w:ascii="Corbel" w:hAnsi="Corbel"/>
          <w:sz w:val="24"/>
          <w:szCs w:val="24"/>
        </w:rPr>
      </w:pPr>
      <w:r w:rsidRPr="00C216EE">
        <w:rPr>
          <w:rFonts w:ascii="Corbel" w:hAnsi="Corbel"/>
          <w:noProof/>
          <w:sz w:val="24"/>
          <w:szCs w:val="24"/>
        </w:rPr>
        <mc:AlternateContent>
          <mc:Choice Requires="wps">
            <w:drawing>
              <wp:anchor distT="45720" distB="45720" distL="114300" distR="114300" simplePos="0" relativeHeight="251677714" behindDoc="0" locked="0" layoutInCell="1" allowOverlap="1" wp14:anchorId="64B6E873" wp14:editId="0B95A3DE">
                <wp:simplePos x="0" y="0"/>
                <wp:positionH relativeFrom="margin">
                  <wp:posOffset>2343150</wp:posOffset>
                </wp:positionH>
                <wp:positionV relativeFrom="paragraph">
                  <wp:posOffset>3293745</wp:posOffset>
                </wp:positionV>
                <wp:extent cx="3667125" cy="255270"/>
                <wp:effectExtent l="0" t="0" r="9525"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5270"/>
                        </a:xfrm>
                        <a:prstGeom prst="rect">
                          <a:avLst/>
                        </a:prstGeom>
                        <a:solidFill>
                          <a:srgbClr val="FFFFFF"/>
                        </a:solidFill>
                        <a:ln w="9525">
                          <a:noFill/>
                          <a:miter lim="800000"/>
                          <a:headEnd/>
                          <a:tailEnd/>
                        </a:ln>
                      </wps:spPr>
                      <wps:txbx>
                        <w:txbxContent>
                          <w:p w14:paraId="5065C87A" w14:textId="2E3D03B3" w:rsidR="00FB2245" w:rsidRPr="00C216EE" w:rsidRDefault="00FB2245" w:rsidP="00FB2245">
                            <w:pPr>
                              <w:spacing w:after="0" w:line="240" w:lineRule="auto"/>
                              <w:jc w:val="right"/>
                              <w:rPr>
                                <w:sz w:val="20"/>
                                <w:szCs w:val="20"/>
                              </w:rPr>
                            </w:pPr>
                            <w:r w:rsidRPr="00C216EE">
                              <w:rPr>
                                <w:sz w:val="20"/>
                                <w:szCs w:val="20"/>
                              </w:rPr>
                              <w:t>Figure 1</w:t>
                            </w:r>
                            <w:r w:rsidR="006C3F0B">
                              <w:rPr>
                                <w:sz w:val="20"/>
                                <w:szCs w:val="20"/>
                              </w:rPr>
                              <w:t>9</w:t>
                            </w:r>
                            <w:r w:rsidRPr="00C216EE">
                              <w:rPr>
                                <w:sz w:val="20"/>
                                <w:szCs w:val="20"/>
                              </w:rPr>
                              <w:t xml:space="preserve"> –</w:t>
                            </w:r>
                            <w:r w:rsidR="000169D9">
                              <w:rPr>
                                <w:sz w:val="20"/>
                                <w:szCs w:val="20"/>
                              </w:rPr>
                              <w:t>pay quartile distribution by ethnicity,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B6E873" id="_x0000_s1045" type="#_x0000_t202" style="position:absolute;margin-left:184.5pt;margin-top:259.35pt;width:288.75pt;height:20.1pt;z-index:2516777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" stroked="f">
                <v:textbox style="mso-fit-shape-to-text:t">
                  <w:txbxContent>
                    <w:p w14:paraId="5065C87A" w14:textId="2E3D03B3" w:rsidR="00FB2245" w:rsidRPr="00C216EE" w:rsidRDefault="00FB2245" w:rsidP="00FB2245">
                      <w:pPr>
                        <w:spacing w:after="0" w:line="240" w:lineRule="auto"/>
                        <w:jc w:val="right"/>
                        <w:rPr>
                          <w:sz w:val="20"/>
                          <w:szCs w:val="20"/>
                        </w:rPr>
                      </w:pPr>
                      <w:r w:rsidRPr="00C216EE">
                        <w:rPr>
                          <w:sz w:val="20"/>
                          <w:szCs w:val="20"/>
                        </w:rPr>
                        <w:t>Figure 1</w:t>
                      </w:r>
                      <w:r w:rsidR="006C3F0B">
                        <w:rPr>
                          <w:sz w:val="20"/>
                          <w:szCs w:val="20"/>
                        </w:rPr>
                        <w:t>9</w:t>
                      </w:r>
                      <w:r w:rsidRPr="00C216EE">
                        <w:rPr>
                          <w:sz w:val="20"/>
                          <w:szCs w:val="20"/>
                        </w:rPr>
                        <w:t xml:space="preserve"> –</w:t>
                      </w:r>
                      <w:r w:rsidR="000169D9">
                        <w:rPr>
                          <w:sz w:val="20"/>
                          <w:szCs w:val="20"/>
                        </w:rPr>
                        <w:t>pay quartile distribution by ethnicity, 2021-22</w:t>
                      </w:r>
                    </w:p>
                  </w:txbxContent>
                </v:textbox>
                <w10:wrap type="square" anchorx="margin"/>
              </v:shape>
            </w:pict>
          </mc:Fallback>
        </mc:AlternateContent>
      </w:r>
    </w:p>
    <w:p w14:paraId="70A3300D" w14:textId="77777777" w:rsidR="00DC58EF" w:rsidRDefault="00DC58EF" w:rsidP="00890B77">
      <w:pPr>
        <w:rPr>
          <w:rFonts w:ascii="Corbel" w:hAnsi="Corbel"/>
          <w:sz w:val="24"/>
          <w:szCs w:val="24"/>
        </w:rPr>
      </w:pPr>
    </w:p>
    <w:p w14:paraId="75B72DCF" w14:textId="19892AF7" w:rsidR="00DE0728" w:rsidRDefault="00AD0992" w:rsidP="00890B77">
      <w:pPr>
        <w:rPr>
          <w:rFonts w:ascii="Corbel" w:hAnsi="Corbel"/>
          <w:sz w:val="24"/>
          <w:szCs w:val="24"/>
        </w:rPr>
      </w:pPr>
      <w:r>
        <w:rPr>
          <w:rFonts w:ascii="Corbel" w:hAnsi="Corbel"/>
          <w:sz w:val="24"/>
          <w:szCs w:val="24"/>
        </w:rPr>
        <w:t>Figure 19 shows t</w:t>
      </w:r>
      <w:r w:rsidR="0074075A" w:rsidRPr="003969BA">
        <w:rPr>
          <w:rFonts w:ascii="Corbel" w:hAnsi="Corbel"/>
          <w:sz w:val="24"/>
          <w:szCs w:val="24"/>
        </w:rPr>
        <w:t xml:space="preserve">he representation of </w:t>
      </w:r>
      <w:r>
        <w:rPr>
          <w:rFonts w:ascii="Corbel" w:hAnsi="Corbel"/>
          <w:sz w:val="24"/>
          <w:szCs w:val="24"/>
        </w:rPr>
        <w:t>W</w:t>
      </w:r>
      <w:r w:rsidR="0074075A" w:rsidRPr="003969BA">
        <w:rPr>
          <w:rFonts w:ascii="Corbel" w:hAnsi="Corbel"/>
          <w:sz w:val="24"/>
          <w:szCs w:val="24"/>
        </w:rPr>
        <w:t>hite and Black and global majority colleagues within four pay quartiles</w:t>
      </w:r>
      <w:r w:rsidR="000169D9">
        <w:rPr>
          <w:rFonts w:ascii="Corbel" w:hAnsi="Corbel"/>
          <w:sz w:val="24"/>
          <w:szCs w:val="24"/>
        </w:rPr>
        <w:t>, and giv</w:t>
      </w:r>
      <w:r w:rsidR="00F63945">
        <w:rPr>
          <w:rFonts w:ascii="Corbel" w:hAnsi="Corbel"/>
          <w:sz w:val="24"/>
          <w:szCs w:val="24"/>
        </w:rPr>
        <w:t>ing</w:t>
      </w:r>
      <w:r w:rsidR="000169D9">
        <w:rPr>
          <w:rFonts w:ascii="Corbel" w:hAnsi="Corbel"/>
          <w:sz w:val="24"/>
          <w:szCs w:val="24"/>
        </w:rPr>
        <w:t xml:space="preserve"> indications as to </w:t>
      </w:r>
      <w:r w:rsidR="0074075A" w:rsidRPr="003969BA">
        <w:rPr>
          <w:rFonts w:ascii="Corbel" w:hAnsi="Corbel"/>
          <w:sz w:val="24"/>
          <w:szCs w:val="24"/>
        </w:rPr>
        <w:t xml:space="preserve">why </w:t>
      </w:r>
      <w:r w:rsidR="00F63945">
        <w:rPr>
          <w:rFonts w:ascii="Corbel" w:hAnsi="Corbel"/>
          <w:sz w:val="24"/>
          <w:szCs w:val="24"/>
        </w:rPr>
        <w:t>we have pay gaps and why they have changed between 2021 and 2022</w:t>
      </w:r>
      <w:r w:rsidR="0074075A" w:rsidRPr="003969BA">
        <w:rPr>
          <w:rFonts w:ascii="Corbel" w:hAnsi="Corbel"/>
          <w:sz w:val="24"/>
          <w:szCs w:val="24"/>
        </w:rPr>
        <w:t xml:space="preserve">.  </w:t>
      </w:r>
      <w:r w:rsidR="006C68E1">
        <w:rPr>
          <w:rFonts w:ascii="Corbel" w:hAnsi="Corbel"/>
          <w:sz w:val="24"/>
          <w:szCs w:val="24"/>
        </w:rPr>
        <w:t xml:space="preserve">The overall ethnicity distribution is </w:t>
      </w:r>
      <w:r w:rsidR="00747EF3">
        <w:rPr>
          <w:rFonts w:ascii="Corbel" w:hAnsi="Corbel"/>
          <w:sz w:val="24"/>
          <w:szCs w:val="24"/>
        </w:rPr>
        <w:t>76.6</w:t>
      </w:r>
      <w:r w:rsidR="006C68E1">
        <w:rPr>
          <w:rFonts w:ascii="Corbel" w:hAnsi="Corbel"/>
          <w:sz w:val="24"/>
          <w:szCs w:val="24"/>
        </w:rPr>
        <w:t xml:space="preserve">% </w:t>
      </w:r>
      <w:r w:rsidR="00747EF3">
        <w:rPr>
          <w:rFonts w:ascii="Corbel" w:hAnsi="Corbel"/>
          <w:sz w:val="24"/>
          <w:szCs w:val="24"/>
        </w:rPr>
        <w:t>white</w:t>
      </w:r>
      <w:r w:rsidR="006C68E1">
        <w:rPr>
          <w:rFonts w:ascii="Corbel" w:hAnsi="Corbel"/>
          <w:sz w:val="24"/>
          <w:szCs w:val="24"/>
        </w:rPr>
        <w:t xml:space="preserve"> and </w:t>
      </w:r>
      <w:r w:rsidR="00747EF3">
        <w:rPr>
          <w:rFonts w:ascii="Corbel" w:hAnsi="Corbel"/>
          <w:sz w:val="24"/>
          <w:szCs w:val="24"/>
        </w:rPr>
        <w:t>23.4</w:t>
      </w:r>
      <w:r w:rsidR="006C68E1">
        <w:rPr>
          <w:rFonts w:ascii="Corbel" w:hAnsi="Corbel"/>
          <w:sz w:val="24"/>
          <w:szCs w:val="24"/>
        </w:rPr>
        <w:t xml:space="preserve">% </w:t>
      </w:r>
      <w:r w:rsidR="00747EF3">
        <w:rPr>
          <w:rFonts w:ascii="Corbel" w:hAnsi="Corbel"/>
          <w:sz w:val="24"/>
          <w:szCs w:val="24"/>
        </w:rPr>
        <w:t>Black and global majority</w:t>
      </w:r>
      <w:r w:rsidR="006C68E1">
        <w:rPr>
          <w:rFonts w:ascii="Corbel" w:hAnsi="Corbel"/>
          <w:sz w:val="24"/>
          <w:szCs w:val="24"/>
        </w:rPr>
        <w:t xml:space="preserve">.  The upper quartile holds </w:t>
      </w:r>
      <w:r w:rsidR="00397474">
        <w:rPr>
          <w:rFonts w:ascii="Corbel" w:hAnsi="Corbel"/>
          <w:sz w:val="24"/>
          <w:szCs w:val="24"/>
        </w:rPr>
        <w:t>26</w:t>
      </w:r>
      <w:r w:rsidR="006C68E1">
        <w:rPr>
          <w:rFonts w:ascii="Corbel" w:hAnsi="Corbel"/>
          <w:sz w:val="24"/>
          <w:szCs w:val="24"/>
        </w:rPr>
        <w:t xml:space="preserve">.6% of all </w:t>
      </w:r>
      <w:r w:rsidR="00397474">
        <w:rPr>
          <w:rFonts w:ascii="Corbel" w:hAnsi="Corbel"/>
          <w:sz w:val="24"/>
          <w:szCs w:val="24"/>
        </w:rPr>
        <w:t>white</w:t>
      </w:r>
      <w:r w:rsidR="006C68E1">
        <w:rPr>
          <w:rFonts w:ascii="Corbel" w:hAnsi="Corbel"/>
          <w:sz w:val="24"/>
          <w:szCs w:val="24"/>
        </w:rPr>
        <w:t xml:space="preserve"> colleagues and only 18.</w:t>
      </w:r>
      <w:r w:rsidR="00471C07">
        <w:rPr>
          <w:rFonts w:ascii="Corbel" w:hAnsi="Corbel"/>
          <w:sz w:val="24"/>
          <w:szCs w:val="24"/>
        </w:rPr>
        <w:t>5</w:t>
      </w:r>
      <w:r w:rsidR="006C68E1">
        <w:rPr>
          <w:rFonts w:ascii="Corbel" w:hAnsi="Corbel"/>
          <w:sz w:val="24"/>
          <w:szCs w:val="24"/>
        </w:rPr>
        <w:t xml:space="preserve">% of all </w:t>
      </w:r>
      <w:r w:rsidR="00471C07">
        <w:rPr>
          <w:rFonts w:ascii="Corbel" w:hAnsi="Corbel"/>
          <w:sz w:val="24"/>
          <w:szCs w:val="24"/>
        </w:rPr>
        <w:t>Black and global majority</w:t>
      </w:r>
      <w:r w:rsidR="006C68E1">
        <w:rPr>
          <w:rFonts w:ascii="Corbel" w:hAnsi="Corbel"/>
          <w:sz w:val="24"/>
          <w:szCs w:val="24"/>
        </w:rPr>
        <w:t xml:space="preserve"> colleagues.  </w:t>
      </w:r>
      <w:r w:rsidR="00F63945">
        <w:rPr>
          <w:rFonts w:ascii="Corbel" w:hAnsi="Corbel"/>
          <w:sz w:val="24"/>
          <w:szCs w:val="24"/>
        </w:rPr>
        <w:t>By contrast</w:t>
      </w:r>
      <w:r w:rsidR="006C68E1">
        <w:rPr>
          <w:rFonts w:ascii="Corbel" w:hAnsi="Corbel"/>
          <w:sz w:val="24"/>
          <w:szCs w:val="24"/>
        </w:rPr>
        <w:t xml:space="preserve"> the lower quartile holds </w:t>
      </w:r>
      <w:r w:rsidR="00471C07">
        <w:rPr>
          <w:rFonts w:ascii="Corbel" w:hAnsi="Corbel"/>
          <w:sz w:val="24"/>
          <w:szCs w:val="24"/>
        </w:rPr>
        <w:t>22</w:t>
      </w:r>
      <w:r w:rsidR="006C68E1">
        <w:rPr>
          <w:rFonts w:ascii="Corbel" w:hAnsi="Corbel"/>
          <w:sz w:val="24"/>
          <w:szCs w:val="24"/>
        </w:rPr>
        <w:t>.</w:t>
      </w:r>
      <w:r w:rsidR="00471C07">
        <w:rPr>
          <w:rFonts w:ascii="Corbel" w:hAnsi="Corbel"/>
          <w:sz w:val="24"/>
          <w:szCs w:val="24"/>
        </w:rPr>
        <w:t>7</w:t>
      </w:r>
      <w:r w:rsidR="006C68E1">
        <w:rPr>
          <w:rFonts w:ascii="Corbel" w:hAnsi="Corbel"/>
          <w:sz w:val="24"/>
          <w:szCs w:val="24"/>
        </w:rPr>
        <w:t xml:space="preserve">% of all </w:t>
      </w:r>
      <w:r w:rsidR="00F63945">
        <w:rPr>
          <w:rFonts w:ascii="Corbel" w:hAnsi="Corbel"/>
          <w:sz w:val="24"/>
          <w:szCs w:val="24"/>
        </w:rPr>
        <w:t>W</w:t>
      </w:r>
      <w:r w:rsidR="00471C07">
        <w:rPr>
          <w:rFonts w:ascii="Corbel" w:hAnsi="Corbel"/>
          <w:sz w:val="24"/>
          <w:szCs w:val="24"/>
        </w:rPr>
        <w:t>hite</w:t>
      </w:r>
      <w:r w:rsidR="006C68E1">
        <w:rPr>
          <w:rFonts w:ascii="Corbel" w:hAnsi="Corbel"/>
          <w:sz w:val="24"/>
          <w:szCs w:val="24"/>
        </w:rPr>
        <w:t xml:space="preserve"> colleagues and </w:t>
      </w:r>
      <w:r w:rsidR="006E456F">
        <w:rPr>
          <w:rFonts w:ascii="Corbel" w:hAnsi="Corbel"/>
          <w:sz w:val="24"/>
          <w:szCs w:val="24"/>
        </w:rPr>
        <w:t>34</w:t>
      </w:r>
      <w:r w:rsidR="006C68E1">
        <w:rPr>
          <w:rFonts w:ascii="Corbel" w:hAnsi="Corbel"/>
          <w:sz w:val="24"/>
          <w:szCs w:val="24"/>
        </w:rPr>
        <w:t xml:space="preserve">% of all </w:t>
      </w:r>
      <w:r w:rsidR="006E456F">
        <w:rPr>
          <w:rFonts w:ascii="Corbel" w:hAnsi="Corbel"/>
          <w:sz w:val="24"/>
          <w:szCs w:val="24"/>
        </w:rPr>
        <w:t>Black and global majority</w:t>
      </w:r>
      <w:r w:rsidR="006C68E1">
        <w:rPr>
          <w:rFonts w:ascii="Corbel" w:hAnsi="Corbel"/>
          <w:sz w:val="24"/>
          <w:szCs w:val="24"/>
        </w:rPr>
        <w:t xml:space="preserve"> colleagues.  This is a major factor in why we have </w:t>
      </w:r>
      <w:r w:rsidR="006E456F">
        <w:rPr>
          <w:rFonts w:ascii="Corbel" w:hAnsi="Corbel"/>
          <w:sz w:val="24"/>
          <w:szCs w:val="24"/>
        </w:rPr>
        <w:t>ethnicity</w:t>
      </w:r>
      <w:r w:rsidR="006C68E1">
        <w:rPr>
          <w:rFonts w:ascii="Corbel" w:hAnsi="Corbel"/>
          <w:sz w:val="24"/>
          <w:szCs w:val="24"/>
        </w:rPr>
        <w:t xml:space="preserve"> pay gaps.</w:t>
      </w:r>
    </w:p>
    <w:p w14:paraId="727DE9ED" w14:textId="47FB8183" w:rsidR="0074075A" w:rsidRDefault="006E456F" w:rsidP="00890B77">
      <w:pPr>
        <w:rPr>
          <w:rFonts w:ascii="Corbel" w:hAnsi="Corbel"/>
          <w:sz w:val="24"/>
          <w:szCs w:val="24"/>
        </w:rPr>
      </w:pPr>
      <w:r>
        <w:rPr>
          <w:rFonts w:ascii="Corbel" w:hAnsi="Corbel"/>
          <w:sz w:val="24"/>
          <w:szCs w:val="24"/>
        </w:rPr>
        <w:t>Since 2021 t</w:t>
      </w:r>
      <w:r w:rsidR="0074075A" w:rsidRPr="003969BA">
        <w:rPr>
          <w:rFonts w:ascii="Corbel" w:hAnsi="Corbel"/>
          <w:sz w:val="24"/>
          <w:szCs w:val="24"/>
        </w:rPr>
        <w:t xml:space="preserve">here has been an increase in the number of Black and global majority staff in every </w:t>
      </w:r>
      <w:r w:rsidR="000570DA">
        <w:rPr>
          <w:rFonts w:ascii="Corbel" w:hAnsi="Corbel"/>
          <w:sz w:val="24"/>
          <w:szCs w:val="24"/>
        </w:rPr>
        <w:t xml:space="preserve">pay </w:t>
      </w:r>
      <w:r w:rsidR="0074075A" w:rsidRPr="003969BA">
        <w:rPr>
          <w:rFonts w:ascii="Corbel" w:hAnsi="Corbel"/>
          <w:sz w:val="24"/>
          <w:szCs w:val="24"/>
        </w:rPr>
        <w:t>quartile, with more marked increase</w:t>
      </w:r>
      <w:r w:rsidR="000570DA">
        <w:rPr>
          <w:rFonts w:ascii="Corbel" w:hAnsi="Corbel"/>
          <w:sz w:val="24"/>
          <w:szCs w:val="24"/>
        </w:rPr>
        <w:t>s</w:t>
      </w:r>
      <w:r w:rsidR="0074075A" w:rsidRPr="003969BA">
        <w:rPr>
          <w:rFonts w:ascii="Corbel" w:hAnsi="Corbel"/>
          <w:sz w:val="24"/>
          <w:szCs w:val="24"/>
        </w:rPr>
        <w:t xml:space="preserve"> </w:t>
      </w:r>
      <w:r w:rsidR="000570DA">
        <w:rPr>
          <w:rFonts w:ascii="Corbel" w:hAnsi="Corbel"/>
          <w:sz w:val="24"/>
          <w:szCs w:val="24"/>
        </w:rPr>
        <w:t xml:space="preserve">seen </w:t>
      </w:r>
      <w:r w:rsidR="0074075A" w:rsidRPr="003969BA">
        <w:rPr>
          <w:rFonts w:ascii="Corbel" w:hAnsi="Corbel"/>
          <w:sz w:val="24"/>
          <w:szCs w:val="24"/>
        </w:rPr>
        <w:t xml:space="preserve">in both the lower pay quartile and the upper pay quartile.  The increase in </w:t>
      </w:r>
      <w:r w:rsidR="00985B14">
        <w:rPr>
          <w:rFonts w:ascii="Corbel" w:hAnsi="Corbel"/>
          <w:sz w:val="24"/>
          <w:szCs w:val="24"/>
        </w:rPr>
        <w:t xml:space="preserve">the </w:t>
      </w:r>
      <w:r w:rsidR="0083156D">
        <w:rPr>
          <w:rFonts w:ascii="Corbel" w:hAnsi="Corbel"/>
          <w:sz w:val="24"/>
          <w:szCs w:val="24"/>
        </w:rPr>
        <w:t>lower pay quartile</w:t>
      </w:r>
      <w:r w:rsidR="0074075A" w:rsidRPr="003969BA">
        <w:rPr>
          <w:rFonts w:ascii="Corbel" w:hAnsi="Corbel"/>
          <w:sz w:val="24"/>
          <w:szCs w:val="24"/>
        </w:rPr>
        <w:t xml:space="preserve"> is likely to be causing the increase </w:t>
      </w:r>
      <w:r w:rsidR="0074075A" w:rsidRPr="003969BA">
        <w:rPr>
          <w:rFonts w:ascii="Corbel" w:hAnsi="Corbel"/>
          <w:sz w:val="24"/>
          <w:szCs w:val="24"/>
        </w:rPr>
        <w:lastRenderedPageBreak/>
        <w:t xml:space="preserve">in the median pay gap.  This is balanced </w:t>
      </w:r>
      <w:r w:rsidR="00C173E1">
        <w:rPr>
          <w:rFonts w:ascii="Corbel" w:hAnsi="Corbel"/>
          <w:sz w:val="24"/>
          <w:szCs w:val="24"/>
        </w:rPr>
        <w:t xml:space="preserve">in the mean pay gap </w:t>
      </w:r>
      <w:r w:rsidR="0074075A" w:rsidRPr="003969BA">
        <w:rPr>
          <w:rFonts w:ascii="Corbel" w:hAnsi="Corbel"/>
          <w:sz w:val="24"/>
          <w:szCs w:val="24"/>
        </w:rPr>
        <w:t xml:space="preserve">by the increase </w:t>
      </w:r>
      <w:r w:rsidR="00D91FA1">
        <w:rPr>
          <w:rFonts w:ascii="Corbel" w:hAnsi="Corbel"/>
          <w:sz w:val="24"/>
          <w:szCs w:val="24"/>
        </w:rPr>
        <w:t>in the upper pay quartile</w:t>
      </w:r>
      <w:r w:rsidR="0074075A" w:rsidRPr="003969BA">
        <w:rPr>
          <w:rFonts w:ascii="Corbel" w:hAnsi="Corbel"/>
          <w:sz w:val="24"/>
          <w:szCs w:val="24"/>
        </w:rPr>
        <w:t xml:space="preserve">.  </w:t>
      </w:r>
      <w:r w:rsidR="00D91FA1">
        <w:rPr>
          <w:rFonts w:ascii="Corbel" w:hAnsi="Corbel"/>
          <w:sz w:val="24"/>
          <w:szCs w:val="24"/>
        </w:rPr>
        <w:t>The lower pay quartile</w:t>
      </w:r>
      <w:r w:rsidR="0074075A" w:rsidRPr="003969BA">
        <w:rPr>
          <w:rFonts w:ascii="Corbel" w:hAnsi="Corbel"/>
          <w:sz w:val="24"/>
          <w:szCs w:val="24"/>
        </w:rPr>
        <w:t xml:space="preserve"> is largely composed of </w:t>
      </w:r>
      <w:r w:rsidR="008D198C">
        <w:rPr>
          <w:rFonts w:ascii="Corbel" w:hAnsi="Corbel"/>
          <w:sz w:val="24"/>
          <w:szCs w:val="24"/>
        </w:rPr>
        <w:t xml:space="preserve">hourly paid </w:t>
      </w:r>
      <w:r w:rsidR="0074075A" w:rsidRPr="003969BA">
        <w:rPr>
          <w:rFonts w:ascii="Corbel" w:hAnsi="Corbel"/>
          <w:sz w:val="24"/>
          <w:szCs w:val="24"/>
        </w:rPr>
        <w:t xml:space="preserve">staff, many of whom are students.  Representation </w:t>
      </w:r>
      <w:r w:rsidR="00C07966">
        <w:rPr>
          <w:rFonts w:ascii="Corbel" w:hAnsi="Corbel"/>
          <w:sz w:val="24"/>
          <w:szCs w:val="24"/>
        </w:rPr>
        <w:t xml:space="preserve">in the lower pay quartile </w:t>
      </w:r>
      <w:r w:rsidR="0074075A" w:rsidRPr="003969BA">
        <w:rPr>
          <w:rFonts w:ascii="Corbel" w:hAnsi="Corbel"/>
          <w:sz w:val="24"/>
          <w:szCs w:val="24"/>
        </w:rPr>
        <w:t>is therefore likely to reflect the student profile</w:t>
      </w:r>
      <w:r w:rsidR="006C68E1">
        <w:rPr>
          <w:rFonts w:ascii="Corbel" w:hAnsi="Corbel"/>
          <w:sz w:val="24"/>
          <w:szCs w:val="24"/>
        </w:rPr>
        <w:t>.</w:t>
      </w:r>
      <w:r w:rsidR="008D198C">
        <w:rPr>
          <w:rFonts w:ascii="Corbel" w:hAnsi="Corbel"/>
          <w:sz w:val="24"/>
          <w:szCs w:val="24"/>
        </w:rPr>
        <w:t xml:space="preserve"> </w:t>
      </w:r>
    </w:p>
    <w:p w14:paraId="69CADDAE" w14:textId="01433354" w:rsidR="00B45C98" w:rsidRPr="008B702A" w:rsidRDefault="00B45C98" w:rsidP="00B45C98">
      <w:pPr>
        <w:rPr>
          <w:rFonts w:ascii="Corbel" w:hAnsi="Corbel"/>
          <w:color w:val="4472C4" w:themeColor="accent1"/>
          <w:sz w:val="24"/>
          <w:szCs w:val="24"/>
        </w:rPr>
      </w:pPr>
      <w:r w:rsidRPr="008B702A">
        <w:rPr>
          <w:rFonts w:ascii="Corbel" w:hAnsi="Corbel"/>
          <w:color w:val="4472C4" w:themeColor="accent1"/>
          <w:sz w:val="24"/>
          <w:szCs w:val="24"/>
        </w:rPr>
        <w:t>Ethnicity bonus gaps</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402"/>
        <w:gridCol w:w="2339"/>
        <w:gridCol w:w="2339"/>
      </w:tblGrid>
      <w:tr w:rsidR="00B45C98" w:rsidRPr="0046090C" w14:paraId="7692F3FF" w14:textId="77777777" w:rsidTr="00CC57F0">
        <w:trPr>
          <w:trHeight w:val="534"/>
        </w:trPr>
        <w:tc>
          <w:tcPr>
            <w:tcW w:w="3402" w:type="dxa"/>
            <w:tcBorders>
              <w:top w:val="nil"/>
              <w:left w:val="nil"/>
            </w:tcBorders>
            <w:shd w:val="clear" w:color="auto" w:fill="auto"/>
            <w:tcMar>
              <w:top w:w="54" w:type="dxa"/>
              <w:left w:w="108" w:type="dxa"/>
              <w:bottom w:w="54" w:type="dxa"/>
              <w:right w:w="108" w:type="dxa"/>
            </w:tcMar>
            <w:hideMark/>
          </w:tcPr>
          <w:p w14:paraId="26A7506D" w14:textId="77777777" w:rsidR="00B45C98" w:rsidRPr="0046090C" w:rsidRDefault="00B45C98" w:rsidP="00CC57F0">
            <w:pPr>
              <w:rPr>
                <w:rFonts w:ascii="Corbel" w:hAnsi="Corbel"/>
                <w:sz w:val="24"/>
                <w:szCs w:val="24"/>
              </w:rPr>
            </w:pPr>
          </w:p>
        </w:tc>
        <w:tc>
          <w:tcPr>
            <w:tcW w:w="2339" w:type="dxa"/>
            <w:shd w:val="clear" w:color="auto" w:fill="F7CAAC" w:themeFill="accent2" w:themeFillTint="66"/>
            <w:tcMar>
              <w:top w:w="54" w:type="dxa"/>
              <w:left w:w="108" w:type="dxa"/>
              <w:bottom w:w="54" w:type="dxa"/>
              <w:right w:w="108" w:type="dxa"/>
            </w:tcMar>
            <w:hideMark/>
          </w:tcPr>
          <w:p w14:paraId="7BC534DE" w14:textId="77777777" w:rsidR="00B45C98" w:rsidRDefault="00B45C98" w:rsidP="00CC57F0">
            <w:pPr>
              <w:spacing w:after="0" w:line="240" w:lineRule="auto"/>
              <w:jc w:val="center"/>
              <w:rPr>
                <w:rFonts w:ascii="Corbel" w:hAnsi="Corbel"/>
                <w:b/>
                <w:bCs/>
                <w:sz w:val="24"/>
                <w:szCs w:val="24"/>
              </w:rPr>
            </w:pPr>
            <w:r w:rsidRPr="0046090C">
              <w:rPr>
                <w:rFonts w:ascii="Corbel" w:hAnsi="Corbel"/>
                <w:b/>
                <w:bCs/>
                <w:sz w:val="24"/>
                <w:szCs w:val="24"/>
              </w:rPr>
              <w:t>2022</w:t>
            </w:r>
          </w:p>
          <w:p w14:paraId="578A2F98" w14:textId="77777777" w:rsidR="00B45C98" w:rsidRPr="0046090C" w:rsidRDefault="00B45C98" w:rsidP="00CC57F0">
            <w:pPr>
              <w:spacing w:after="0" w:line="240" w:lineRule="auto"/>
              <w:jc w:val="center"/>
              <w:rPr>
                <w:rFonts w:ascii="Corbel" w:hAnsi="Corbel"/>
                <w:b/>
                <w:bCs/>
                <w:sz w:val="24"/>
                <w:szCs w:val="24"/>
              </w:rPr>
            </w:pPr>
            <w:r>
              <w:rPr>
                <w:rFonts w:ascii="Corbel" w:hAnsi="Corbel"/>
                <w:b/>
                <w:bCs/>
                <w:sz w:val="24"/>
                <w:szCs w:val="24"/>
              </w:rPr>
              <w:t>(%)</w:t>
            </w:r>
          </w:p>
        </w:tc>
        <w:tc>
          <w:tcPr>
            <w:tcW w:w="2339" w:type="dxa"/>
            <w:shd w:val="clear" w:color="auto" w:fill="F7CAAC" w:themeFill="accent2" w:themeFillTint="66"/>
            <w:tcMar>
              <w:top w:w="54" w:type="dxa"/>
              <w:left w:w="108" w:type="dxa"/>
              <w:bottom w:w="54" w:type="dxa"/>
              <w:right w:w="108" w:type="dxa"/>
            </w:tcMar>
            <w:hideMark/>
          </w:tcPr>
          <w:p w14:paraId="6B50B94D" w14:textId="77777777" w:rsidR="00B45C98" w:rsidRDefault="00B45C98" w:rsidP="00CC57F0">
            <w:pPr>
              <w:spacing w:after="0" w:line="240" w:lineRule="auto"/>
              <w:jc w:val="center"/>
              <w:rPr>
                <w:rFonts w:ascii="Corbel" w:hAnsi="Corbel"/>
                <w:b/>
                <w:bCs/>
                <w:sz w:val="24"/>
                <w:szCs w:val="24"/>
              </w:rPr>
            </w:pPr>
            <w:r w:rsidRPr="0046090C">
              <w:rPr>
                <w:rFonts w:ascii="Corbel" w:hAnsi="Corbel"/>
                <w:b/>
                <w:bCs/>
                <w:sz w:val="24"/>
                <w:szCs w:val="24"/>
              </w:rPr>
              <w:t>2021</w:t>
            </w:r>
          </w:p>
          <w:p w14:paraId="12E1AC12" w14:textId="77777777" w:rsidR="00B45C98" w:rsidRPr="0046090C" w:rsidRDefault="00B45C98" w:rsidP="00CC57F0">
            <w:pPr>
              <w:spacing w:after="0" w:line="240" w:lineRule="auto"/>
              <w:jc w:val="center"/>
              <w:rPr>
                <w:rFonts w:ascii="Corbel" w:hAnsi="Corbel"/>
                <w:b/>
                <w:bCs/>
                <w:sz w:val="24"/>
                <w:szCs w:val="24"/>
              </w:rPr>
            </w:pPr>
            <w:r>
              <w:rPr>
                <w:rFonts w:ascii="Corbel" w:hAnsi="Corbel"/>
                <w:b/>
                <w:bCs/>
                <w:sz w:val="24"/>
                <w:szCs w:val="24"/>
              </w:rPr>
              <w:t>(%)</w:t>
            </w:r>
          </w:p>
        </w:tc>
      </w:tr>
      <w:tr w:rsidR="00B45C98" w:rsidRPr="0046090C" w14:paraId="3D080C40" w14:textId="77777777" w:rsidTr="00CC57F0">
        <w:trPr>
          <w:trHeight w:val="527"/>
        </w:trPr>
        <w:tc>
          <w:tcPr>
            <w:tcW w:w="3402" w:type="dxa"/>
            <w:shd w:val="clear" w:color="auto" w:fill="auto"/>
            <w:tcMar>
              <w:top w:w="54" w:type="dxa"/>
              <w:left w:w="108" w:type="dxa"/>
              <w:bottom w:w="54" w:type="dxa"/>
              <w:right w:w="108" w:type="dxa"/>
            </w:tcMar>
            <w:hideMark/>
          </w:tcPr>
          <w:p w14:paraId="7EA76615" w14:textId="77777777" w:rsidR="00B45C98" w:rsidRPr="0046090C" w:rsidRDefault="00B45C98" w:rsidP="00CC57F0">
            <w:pPr>
              <w:rPr>
                <w:rFonts w:ascii="Corbel" w:hAnsi="Corbel"/>
                <w:sz w:val="24"/>
                <w:szCs w:val="24"/>
              </w:rPr>
            </w:pPr>
            <w:r w:rsidRPr="0046090C">
              <w:rPr>
                <w:rFonts w:ascii="Corbel" w:hAnsi="Corbel"/>
                <w:sz w:val="24"/>
                <w:szCs w:val="24"/>
              </w:rPr>
              <w:t>Mean Ethnicity Bonus Gap</w:t>
            </w:r>
          </w:p>
        </w:tc>
        <w:tc>
          <w:tcPr>
            <w:tcW w:w="2339" w:type="dxa"/>
            <w:shd w:val="clear" w:color="auto" w:fill="auto"/>
            <w:tcMar>
              <w:top w:w="54" w:type="dxa"/>
              <w:left w:w="108" w:type="dxa"/>
              <w:bottom w:w="54" w:type="dxa"/>
              <w:right w:w="108" w:type="dxa"/>
            </w:tcMar>
            <w:hideMark/>
          </w:tcPr>
          <w:p w14:paraId="77043BEC" w14:textId="77777777" w:rsidR="00B45C98" w:rsidRPr="0046090C" w:rsidRDefault="00B45C98" w:rsidP="00CC57F0">
            <w:pPr>
              <w:jc w:val="center"/>
              <w:rPr>
                <w:rFonts w:ascii="Corbel" w:hAnsi="Corbel"/>
                <w:sz w:val="24"/>
                <w:szCs w:val="24"/>
              </w:rPr>
            </w:pPr>
            <w:r w:rsidRPr="0046090C">
              <w:rPr>
                <w:rFonts w:ascii="Corbel" w:hAnsi="Corbel"/>
                <w:sz w:val="24"/>
                <w:szCs w:val="24"/>
              </w:rPr>
              <w:t>26.8</w:t>
            </w:r>
          </w:p>
        </w:tc>
        <w:tc>
          <w:tcPr>
            <w:tcW w:w="2339" w:type="dxa"/>
            <w:shd w:val="clear" w:color="auto" w:fill="auto"/>
            <w:tcMar>
              <w:top w:w="54" w:type="dxa"/>
              <w:left w:w="108" w:type="dxa"/>
              <w:bottom w:w="54" w:type="dxa"/>
              <w:right w:w="108" w:type="dxa"/>
            </w:tcMar>
            <w:hideMark/>
          </w:tcPr>
          <w:p w14:paraId="787BB628" w14:textId="77777777" w:rsidR="00B45C98" w:rsidRPr="0046090C" w:rsidRDefault="00B45C98" w:rsidP="00CC57F0">
            <w:pPr>
              <w:jc w:val="center"/>
              <w:rPr>
                <w:rFonts w:ascii="Corbel" w:hAnsi="Corbel"/>
                <w:sz w:val="24"/>
                <w:szCs w:val="24"/>
              </w:rPr>
            </w:pPr>
            <w:r w:rsidRPr="0046090C">
              <w:rPr>
                <w:rFonts w:ascii="Corbel" w:hAnsi="Corbel"/>
                <w:sz w:val="24"/>
                <w:szCs w:val="24"/>
              </w:rPr>
              <w:t>8.2</w:t>
            </w:r>
          </w:p>
        </w:tc>
      </w:tr>
      <w:tr w:rsidR="00B45C98" w:rsidRPr="0046090C" w14:paraId="1E1C62F3" w14:textId="77777777" w:rsidTr="00CC57F0">
        <w:trPr>
          <w:trHeight w:val="527"/>
        </w:trPr>
        <w:tc>
          <w:tcPr>
            <w:tcW w:w="3402" w:type="dxa"/>
            <w:shd w:val="clear" w:color="auto" w:fill="auto"/>
            <w:tcMar>
              <w:top w:w="54" w:type="dxa"/>
              <w:left w:w="108" w:type="dxa"/>
              <w:bottom w:w="54" w:type="dxa"/>
              <w:right w:w="108" w:type="dxa"/>
            </w:tcMar>
            <w:hideMark/>
          </w:tcPr>
          <w:p w14:paraId="78CAC67E" w14:textId="77777777" w:rsidR="00B45C98" w:rsidRPr="0046090C" w:rsidRDefault="00B45C98" w:rsidP="00CC57F0">
            <w:pPr>
              <w:rPr>
                <w:rFonts w:ascii="Corbel" w:hAnsi="Corbel"/>
                <w:sz w:val="24"/>
                <w:szCs w:val="24"/>
              </w:rPr>
            </w:pPr>
            <w:r w:rsidRPr="0046090C">
              <w:rPr>
                <w:rFonts w:ascii="Corbel" w:hAnsi="Corbel"/>
                <w:sz w:val="24"/>
                <w:szCs w:val="24"/>
              </w:rPr>
              <w:t>Median Ethnicity Bonus Gap</w:t>
            </w:r>
          </w:p>
        </w:tc>
        <w:tc>
          <w:tcPr>
            <w:tcW w:w="2339" w:type="dxa"/>
            <w:shd w:val="clear" w:color="auto" w:fill="auto"/>
            <w:tcMar>
              <w:top w:w="54" w:type="dxa"/>
              <w:left w:w="108" w:type="dxa"/>
              <w:bottom w:w="54" w:type="dxa"/>
              <w:right w:w="108" w:type="dxa"/>
            </w:tcMar>
            <w:hideMark/>
          </w:tcPr>
          <w:p w14:paraId="162DC869" w14:textId="77777777" w:rsidR="00B45C98" w:rsidRPr="0046090C" w:rsidRDefault="00B45C98" w:rsidP="00CC57F0">
            <w:pPr>
              <w:jc w:val="center"/>
              <w:rPr>
                <w:rFonts w:ascii="Corbel" w:hAnsi="Corbel"/>
                <w:sz w:val="24"/>
                <w:szCs w:val="24"/>
              </w:rPr>
            </w:pPr>
            <w:r w:rsidRPr="0046090C">
              <w:rPr>
                <w:rFonts w:ascii="Corbel" w:hAnsi="Corbel"/>
                <w:sz w:val="24"/>
                <w:szCs w:val="24"/>
              </w:rPr>
              <w:t>0.0</w:t>
            </w:r>
          </w:p>
        </w:tc>
        <w:tc>
          <w:tcPr>
            <w:tcW w:w="2339" w:type="dxa"/>
            <w:shd w:val="clear" w:color="auto" w:fill="auto"/>
            <w:tcMar>
              <w:top w:w="54" w:type="dxa"/>
              <w:left w:w="108" w:type="dxa"/>
              <w:bottom w:w="54" w:type="dxa"/>
              <w:right w:w="108" w:type="dxa"/>
            </w:tcMar>
            <w:hideMark/>
          </w:tcPr>
          <w:p w14:paraId="756E28B3" w14:textId="77777777" w:rsidR="00B45C98" w:rsidRPr="0046090C" w:rsidRDefault="00B45C98" w:rsidP="00CC57F0">
            <w:pPr>
              <w:jc w:val="center"/>
              <w:rPr>
                <w:rFonts w:ascii="Corbel" w:hAnsi="Corbel"/>
                <w:sz w:val="24"/>
                <w:szCs w:val="24"/>
              </w:rPr>
            </w:pPr>
            <w:r w:rsidRPr="0046090C">
              <w:rPr>
                <w:rFonts w:ascii="Corbel" w:hAnsi="Corbel"/>
                <w:sz w:val="24"/>
                <w:szCs w:val="24"/>
              </w:rPr>
              <w:t>0.0</w:t>
            </w:r>
          </w:p>
        </w:tc>
      </w:tr>
    </w:tbl>
    <w:p w14:paraId="420CCAEF" w14:textId="2155CEF8" w:rsidR="00B45C98" w:rsidRDefault="00C173E1" w:rsidP="00B45C98">
      <w:pPr>
        <w:rPr>
          <w:rFonts w:ascii="Corbel" w:hAnsi="Corbel"/>
          <w:sz w:val="24"/>
          <w:szCs w:val="24"/>
        </w:rPr>
      </w:pPr>
      <w:r w:rsidRPr="00C216EE">
        <w:rPr>
          <w:rFonts w:ascii="Corbel" w:hAnsi="Corbel"/>
          <w:noProof/>
          <w:sz w:val="24"/>
          <w:szCs w:val="24"/>
        </w:rPr>
        <mc:AlternateContent>
          <mc:Choice Requires="wps">
            <w:drawing>
              <wp:anchor distT="45720" distB="45720" distL="114300" distR="114300" simplePos="0" relativeHeight="251679762" behindDoc="0" locked="0" layoutInCell="1" allowOverlap="1" wp14:anchorId="5F97C0EC" wp14:editId="1D685859">
                <wp:simplePos x="0" y="0"/>
                <wp:positionH relativeFrom="margin">
                  <wp:posOffset>1504950</wp:posOffset>
                </wp:positionH>
                <wp:positionV relativeFrom="paragraph">
                  <wp:posOffset>95250</wp:posOffset>
                </wp:positionV>
                <wp:extent cx="3667125" cy="255270"/>
                <wp:effectExtent l="0" t="0" r="952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5270"/>
                        </a:xfrm>
                        <a:prstGeom prst="rect">
                          <a:avLst/>
                        </a:prstGeom>
                        <a:solidFill>
                          <a:srgbClr val="FFFFFF"/>
                        </a:solidFill>
                        <a:ln w="9525">
                          <a:noFill/>
                          <a:miter lim="800000"/>
                          <a:headEnd/>
                          <a:tailEnd/>
                        </a:ln>
                      </wps:spPr>
                      <wps:txbx>
                        <w:txbxContent>
                          <w:p w14:paraId="6EC8DA32" w14:textId="1E6086D9" w:rsidR="00C173E1" w:rsidRPr="00C216EE" w:rsidRDefault="00C173E1" w:rsidP="00C173E1">
                            <w:pPr>
                              <w:spacing w:after="0" w:line="240" w:lineRule="auto"/>
                              <w:jc w:val="right"/>
                              <w:rPr>
                                <w:sz w:val="20"/>
                                <w:szCs w:val="20"/>
                              </w:rPr>
                            </w:pPr>
                            <w:r w:rsidRPr="00C216EE">
                              <w:rPr>
                                <w:sz w:val="20"/>
                                <w:szCs w:val="20"/>
                              </w:rPr>
                              <w:t xml:space="preserve">Figure </w:t>
                            </w:r>
                            <w:r>
                              <w:rPr>
                                <w:sz w:val="20"/>
                                <w:szCs w:val="20"/>
                              </w:rPr>
                              <w:t>20</w:t>
                            </w:r>
                            <w:r w:rsidRPr="00C216EE">
                              <w:rPr>
                                <w:sz w:val="20"/>
                                <w:szCs w:val="20"/>
                              </w:rPr>
                              <w:t xml:space="preserve"> –</w:t>
                            </w:r>
                            <w:r>
                              <w:rPr>
                                <w:sz w:val="20"/>
                                <w:szCs w:val="20"/>
                              </w:rPr>
                              <w:t>ethnicity bonus gaps,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97C0EC" id="_x0000_s1046" type="#_x0000_t202" style="position:absolute;margin-left:118.5pt;margin-top:7.5pt;width:288.75pt;height:20.1pt;z-index:2516797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" stroked="f">
                <v:textbox style="mso-fit-shape-to-text:t">
                  <w:txbxContent>
                    <w:p w14:paraId="6EC8DA32" w14:textId="1E6086D9" w:rsidR="00C173E1" w:rsidRPr="00C216EE" w:rsidRDefault="00C173E1" w:rsidP="00C173E1">
                      <w:pPr>
                        <w:spacing w:after="0" w:line="240" w:lineRule="auto"/>
                        <w:jc w:val="right"/>
                        <w:rPr>
                          <w:sz w:val="20"/>
                          <w:szCs w:val="20"/>
                        </w:rPr>
                      </w:pPr>
                      <w:r w:rsidRPr="00C216EE">
                        <w:rPr>
                          <w:sz w:val="20"/>
                          <w:szCs w:val="20"/>
                        </w:rPr>
                        <w:t xml:space="preserve">Figure </w:t>
                      </w:r>
                      <w:r>
                        <w:rPr>
                          <w:sz w:val="20"/>
                          <w:szCs w:val="20"/>
                        </w:rPr>
                        <w:t>20</w:t>
                      </w:r>
                      <w:r w:rsidRPr="00C216EE">
                        <w:rPr>
                          <w:sz w:val="20"/>
                          <w:szCs w:val="20"/>
                        </w:rPr>
                        <w:t xml:space="preserve"> –</w:t>
                      </w:r>
                      <w:r>
                        <w:rPr>
                          <w:sz w:val="20"/>
                          <w:szCs w:val="20"/>
                        </w:rPr>
                        <w:t>ethnicity bonus gaps, 2021-22</w:t>
                      </w:r>
                    </w:p>
                  </w:txbxContent>
                </v:textbox>
                <w10:wrap type="square" anchorx="margin"/>
              </v:shape>
            </w:pict>
          </mc:Fallback>
        </mc:AlternateConten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97"/>
        <w:gridCol w:w="2339"/>
        <w:gridCol w:w="2339"/>
      </w:tblGrid>
      <w:tr w:rsidR="00B45C98" w:rsidRPr="0056450E" w14:paraId="3C1F3899" w14:textId="77777777" w:rsidTr="00CC57F0">
        <w:trPr>
          <w:trHeight w:val="528"/>
        </w:trPr>
        <w:tc>
          <w:tcPr>
            <w:tcW w:w="3397" w:type="dxa"/>
            <w:tcBorders>
              <w:top w:val="nil"/>
              <w:left w:val="nil"/>
            </w:tcBorders>
            <w:shd w:val="clear" w:color="auto" w:fill="auto"/>
            <w:tcMar>
              <w:top w:w="54" w:type="dxa"/>
              <w:left w:w="108" w:type="dxa"/>
              <w:bottom w:w="54" w:type="dxa"/>
              <w:right w:w="108" w:type="dxa"/>
            </w:tcMar>
            <w:hideMark/>
          </w:tcPr>
          <w:p w14:paraId="7FD217AD" w14:textId="77777777" w:rsidR="00B45C98" w:rsidRPr="0056450E" w:rsidRDefault="00B45C98" w:rsidP="00CC57F0">
            <w:pPr>
              <w:rPr>
                <w:rFonts w:ascii="Corbel" w:hAnsi="Corbel"/>
                <w:sz w:val="24"/>
                <w:szCs w:val="24"/>
              </w:rPr>
            </w:pPr>
          </w:p>
        </w:tc>
        <w:tc>
          <w:tcPr>
            <w:tcW w:w="2339" w:type="dxa"/>
            <w:shd w:val="clear" w:color="auto" w:fill="F7CAAC" w:themeFill="accent2" w:themeFillTint="66"/>
            <w:tcMar>
              <w:top w:w="54" w:type="dxa"/>
              <w:left w:w="108" w:type="dxa"/>
              <w:bottom w:w="54" w:type="dxa"/>
              <w:right w:w="108" w:type="dxa"/>
            </w:tcMar>
            <w:hideMark/>
          </w:tcPr>
          <w:p w14:paraId="39E3346B" w14:textId="77777777" w:rsidR="00B45C98" w:rsidRPr="0056450E" w:rsidRDefault="00B45C98" w:rsidP="00CC57F0">
            <w:pPr>
              <w:spacing w:after="0" w:line="240" w:lineRule="auto"/>
              <w:jc w:val="center"/>
              <w:rPr>
                <w:rFonts w:ascii="Corbel" w:hAnsi="Corbel"/>
                <w:b/>
                <w:bCs/>
                <w:sz w:val="24"/>
                <w:szCs w:val="24"/>
              </w:rPr>
            </w:pPr>
            <w:r w:rsidRPr="0056450E">
              <w:rPr>
                <w:rFonts w:ascii="Corbel" w:hAnsi="Corbel"/>
                <w:b/>
                <w:bCs/>
                <w:sz w:val="24"/>
                <w:szCs w:val="24"/>
              </w:rPr>
              <w:t>2022</w:t>
            </w:r>
          </w:p>
        </w:tc>
        <w:tc>
          <w:tcPr>
            <w:tcW w:w="2339" w:type="dxa"/>
            <w:shd w:val="clear" w:color="auto" w:fill="F7CAAC" w:themeFill="accent2" w:themeFillTint="66"/>
            <w:tcMar>
              <w:top w:w="54" w:type="dxa"/>
              <w:left w:w="108" w:type="dxa"/>
              <w:bottom w:w="54" w:type="dxa"/>
              <w:right w:w="108" w:type="dxa"/>
            </w:tcMar>
            <w:hideMark/>
          </w:tcPr>
          <w:p w14:paraId="5C5ECE5A" w14:textId="77777777" w:rsidR="00B45C98" w:rsidRPr="0056450E" w:rsidRDefault="00B45C98" w:rsidP="00CC57F0">
            <w:pPr>
              <w:spacing w:after="0" w:line="240" w:lineRule="auto"/>
              <w:jc w:val="center"/>
              <w:rPr>
                <w:rFonts w:ascii="Corbel" w:hAnsi="Corbel"/>
                <w:b/>
                <w:bCs/>
                <w:sz w:val="24"/>
                <w:szCs w:val="24"/>
              </w:rPr>
            </w:pPr>
            <w:r w:rsidRPr="0056450E">
              <w:rPr>
                <w:rFonts w:ascii="Corbel" w:hAnsi="Corbel"/>
                <w:b/>
                <w:bCs/>
                <w:sz w:val="24"/>
                <w:szCs w:val="24"/>
              </w:rPr>
              <w:t>2021</w:t>
            </w:r>
          </w:p>
        </w:tc>
      </w:tr>
      <w:tr w:rsidR="00B45C98" w:rsidRPr="0056450E" w14:paraId="015ADFC7" w14:textId="77777777" w:rsidTr="00CC57F0">
        <w:trPr>
          <w:trHeight w:val="521"/>
        </w:trPr>
        <w:tc>
          <w:tcPr>
            <w:tcW w:w="3397" w:type="dxa"/>
            <w:shd w:val="clear" w:color="auto" w:fill="auto"/>
            <w:tcMar>
              <w:top w:w="54" w:type="dxa"/>
              <w:left w:w="108" w:type="dxa"/>
              <w:bottom w:w="54" w:type="dxa"/>
              <w:right w:w="108" w:type="dxa"/>
            </w:tcMar>
            <w:hideMark/>
          </w:tcPr>
          <w:p w14:paraId="14CB209F" w14:textId="77777777" w:rsidR="00B45C98" w:rsidRPr="0056450E" w:rsidRDefault="00B45C98" w:rsidP="00CC57F0">
            <w:pPr>
              <w:rPr>
                <w:rFonts w:ascii="Corbel" w:hAnsi="Corbel"/>
                <w:sz w:val="24"/>
                <w:szCs w:val="24"/>
              </w:rPr>
            </w:pPr>
            <w:r w:rsidRPr="0056450E">
              <w:rPr>
                <w:rFonts w:ascii="Corbel" w:hAnsi="Corbel"/>
                <w:sz w:val="24"/>
                <w:szCs w:val="24"/>
              </w:rPr>
              <w:t>White employees receiving a bonus</w:t>
            </w:r>
          </w:p>
        </w:tc>
        <w:tc>
          <w:tcPr>
            <w:tcW w:w="2339" w:type="dxa"/>
            <w:shd w:val="clear" w:color="auto" w:fill="auto"/>
            <w:tcMar>
              <w:top w:w="54" w:type="dxa"/>
              <w:left w:w="108" w:type="dxa"/>
              <w:bottom w:w="54" w:type="dxa"/>
              <w:right w:w="108" w:type="dxa"/>
            </w:tcMar>
            <w:hideMark/>
          </w:tcPr>
          <w:p w14:paraId="4FAF41D6" w14:textId="77777777" w:rsidR="00B45C98" w:rsidRPr="0056450E" w:rsidRDefault="00B45C98" w:rsidP="00CC57F0">
            <w:pPr>
              <w:spacing w:after="0" w:line="240" w:lineRule="auto"/>
              <w:jc w:val="center"/>
              <w:rPr>
                <w:rFonts w:ascii="Corbel" w:hAnsi="Corbel"/>
                <w:sz w:val="24"/>
                <w:szCs w:val="24"/>
              </w:rPr>
            </w:pPr>
            <w:r w:rsidRPr="0056450E">
              <w:rPr>
                <w:rFonts w:ascii="Corbel" w:hAnsi="Corbel"/>
                <w:sz w:val="24"/>
                <w:szCs w:val="24"/>
              </w:rPr>
              <w:t>3.6%</w:t>
            </w:r>
          </w:p>
          <w:p w14:paraId="117D92ED" w14:textId="77777777" w:rsidR="00B45C98" w:rsidRPr="0056450E" w:rsidRDefault="00B45C98" w:rsidP="00CC57F0">
            <w:pPr>
              <w:spacing w:after="0" w:line="240" w:lineRule="auto"/>
              <w:jc w:val="center"/>
              <w:rPr>
                <w:rFonts w:ascii="Corbel" w:hAnsi="Corbel"/>
                <w:sz w:val="24"/>
                <w:szCs w:val="24"/>
              </w:rPr>
            </w:pPr>
            <w:r w:rsidRPr="0056450E">
              <w:rPr>
                <w:rFonts w:ascii="Corbel" w:hAnsi="Corbel"/>
                <w:sz w:val="24"/>
                <w:szCs w:val="24"/>
              </w:rPr>
              <w:t>(n=80)</w:t>
            </w:r>
          </w:p>
        </w:tc>
        <w:tc>
          <w:tcPr>
            <w:tcW w:w="2339" w:type="dxa"/>
            <w:shd w:val="clear" w:color="auto" w:fill="auto"/>
            <w:tcMar>
              <w:top w:w="54" w:type="dxa"/>
              <w:left w:w="108" w:type="dxa"/>
              <w:bottom w:w="54" w:type="dxa"/>
              <w:right w:w="108" w:type="dxa"/>
            </w:tcMar>
            <w:hideMark/>
          </w:tcPr>
          <w:p w14:paraId="197A3BF5" w14:textId="77777777" w:rsidR="00B45C98" w:rsidRPr="0056450E" w:rsidRDefault="00B45C98" w:rsidP="00CC57F0">
            <w:pPr>
              <w:spacing w:after="0" w:line="240" w:lineRule="auto"/>
              <w:jc w:val="center"/>
              <w:rPr>
                <w:rFonts w:ascii="Corbel" w:hAnsi="Corbel"/>
                <w:sz w:val="24"/>
                <w:szCs w:val="24"/>
              </w:rPr>
            </w:pPr>
            <w:r w:rsidRPr="0056450E">
              <w:rPr>
                <w:rFonts w:ascii="Corbel" w:hAnsi="Corbel"/>
                <w:sz w:val="24"/>
                <w:szCs w:val="24"/>
              </w:rPr>
              <w:t>5.3%</w:t>
            </w:r>
          </w:p>
        </w:tc>
      </w:tr>
      <w:tr w:rsidR="00B45C98" w:rsidRPr="0056450E" w14:paraId="438CA273" w14:textId="77777777" w:rsidTr="00CC57F0">
        <w:trPr>
          <w:trHeight w:val="643"/>
        </w:trPr>
        <w:tc>
          <w:tcPr>
            <w:tcW w:w="3397" w:type="dxa"/>
            <w:shd w:val="clear" w:color="auto" w:fill="auto"/>
            <w:tcMar>
              <w:top w:w="54" w:type="dxa"/>
              <w:left w:w="108" w:type="dxa"/>
              <w:bottom w:w="54" w:type="dxa"/>
              <w:right w:w="108" w:type="dxa"/>
            </w:tcMar>
            <w:hideMark/>
          </w:tcPr>
          <w:p w14:paraId="16478A7F" w14:textId="77777777" w:rsidR="00B45C98" w:rsidRPr="0056450E" w:rsidRDefault="00B45C98" w:rsidP="00CC57F0">
            <w:pPr>
              <w:rPr>
                <w:rFonts w:ascii="Corbel" w:hAnsi="Corbel"/>
                <w:sz w:val="24"/>
                <w:szCs w:val="24"/>
              </w:rPr>
            </w:pPr>
            <w:r w:rsidRPr="0056450E">
              <w:rPr>
                <w:rFonts w:ascii="Corbel" w:hAnsi="Corbel"/>
                <w:sz w:val="24"/>
                <w:szCs w:val="24"/>
              </w:rPr>
              <w:t xml:space="preserve">Black &amp; </w:t>
            </w:r>
            <w:r>
              <w:rPr>
                <w:rFonts w:ascii="Corbel" w:hAnsi="Corbel"/>
                <w:sz w:val="24"/>
                <w:szCs w:val="24"/>
              </w:rPr>
              <w:t>g</w:t>
            </w:r>
            <w:r w:rsidRPr="0056450E">
              <w:rPr>
                <w:rFonts w:ascii="Corbel" w:hAnsi="Corbel"/>
                <w:sz w:val="24"/>
                <w:szCs w:val="24"/>
              </w:rPr>
              <w:t xml:space="preserve">lobal </w:t>
            </w:r>
            <w:r>
              <w:rPr>
                <w:rFonts w:ascii="Corbel" w:hAnsi="Corbel"/>
                <w:sz w:val="24"/>
                <w:szCs w:val="24"/>
              </w:rPr>
              <w:t>m</w:t>
            </w:r>
            <w:r w:rsidRPr="0056450E">
              <w:rPr>
                <w:rFonts w:ascii="Corbel" w:hAnsi="Corbel"/>
                <w:sz w:val="24"/>
                <w:szCs w:val="24"/>
              </w:rPr>
              <w:t>ajority employees receiving a bonus</w:t>
            </w:r>
          </w:p>
        </w:tc>
        <w:tc>
          <w:tcPr>
            <w:tcW w:w="2339" w:type="dxa"/>
            <w:shd w:val="clear" w:color="auto" w:fill="auto"/>
            <w:tcMar>
              <w:top w:w="54" w:type="dxa"/>
              <w:left w:w="108" w:type="dxa"/>
              <w:bottom w:w="54" w:type="dxa"/>
              <w:right w:w="108" w:type="dxa"/>
            </w:tcMar>
            <w:hideMark/>
          </w:tcPr>
          <w:p w14:paraId="5198DC44" w14:textId="260730B7" w:rsidR="00B45C98" w:rsidRPr="0056450E" w:rsidRDefault="00B45C98" w:rsidP="00CC57F0">
            <w:pPr>
              <w:spacing w:after="0" w:line="240" w:lineRule="auto"/>
              <w:jc w:val="center"/>
              <w:rPr>
                <w:rFonts w:ascii="Corbel" w:hAnsi="Corbel"/>
                <w:sz w:val="24"/>
                <w:szCs w:val="24"/>
              </w:rPr>
            </w:pPr>
            <w:r w:rsidRPr="0056450E">
              <w:rPr>
                <w:rFonts w:ascii="Corbel" w:hAnsi="Corbel"/>
                <w:sz w:val="24"/>
                <w:szCs w:val="24"/>
              </w:rPr>
              <w:t>2.1%</w:t>
            </w:r>
          </w:p>
          <w:p w14:paraId="7046EF89" w14:textId="4B8A8F88" w:rsidR="00B45C98" w:rsidRPr="0056450E" w:rsidRDefault="00B45C98" w:rsidP="00CC57F0">
            <w:pPr>
              <w:spacing w:after="0" w:line="240" w:lineRule="auto"/>
              <w:jc w:val="center"/>
              <w:rPr>
                <w:rFonts w:ascii="Corbel" w:hAnsi="Corbel"/>
                <w:sz w:val="24"/>
                <w:szCs w:val="24"/>
              </w:rPr>
            </w:pPr>
            <w:r w:rsidRPr="0056450E">
              <w:rPr>
                <w:rFonts w:ascii="Corbel" w:hAnsi="Corbel"/>
                <w:sz w:val="24"/>
                <w:szCs w:val="24"/>
              </w:rPr>
              <w:t>(n=14)</w:t>
            </w:r>
          </w:p>
        </w:tc>
        <w:tc>
          <w:tcPr>
            <w:tcW w:w="2339" w:type="dxa"/>
            <w:shd w:val="clear" w:color="auto" w:fill="auto"/>
            <w:tcMar>
              <w:top w:w="54" w:type="dxa"/>
              <w:left w:w="108" w:type="dxa"/>
              <w:bottom w:w="54" w:type="dxa"/>
              <w:right w:w="108" w:type="dxa"/>
            </w:tcMar>
            <w:hideMark/>
          </w:tcPr>
          <w:p w14:paraId="6C604038" w14:textId="77777777" w:rsidR="00B45C98" w:rsidRPr="0056450E" w:rsidRDefault="00B45C98" w:rsidP="00CC57F0">
            <w:pPr>
              <w:spacing w:after="0" w:line="240" w:lineRule="auto"/>
              <w:jc w:val="center"/>
              <w:rPr>
                <w:rFonts w:ascii="Corbel" w:hAnsi="Corbel"/>
                <w:sz w:val="24"/>
                <w:szCs w:val="24"/>
              </w:rPr>
            </w:pPr>
            <w:r w:rsidRPr="0056450E">
              <w:rPr>
                <w:rFonts w:ascii="Corbel" w:hAnsi="Corbel"/>
                <w:sz w:val="24"/>
                <w:szCs w:val="24"/>
              </w:rPr>
              <w:t>3.1%</w:t>
            </w:r>
          </w:p>
        </w:tc>
      </w:tr>
    </w:tbl>
    <w:p w14:paraId="0540E43B" w14:textId="4BEC9C18" w:rsidR="00B45C98" w:rsidRDefault="00C173E1" w:rsidP="00B45C98">
      <w:pPr>
        <w:rPr>
          <w:rFonts w:ascii="Corbel" w:hAnsi="Corbel"/>
          <w:sz w:val="24"/>
          <w:szCs w:val="24"/>
        </w:rPr>
      </w:pPr>
      <w:r w:rsidRPr="00C216EE">
        <w:rPr>
          <w:rFonts w:ascii="Corbel" w:hAnsi="Corbel"/>
          <w:noProof/>
          <w:sz w:val="24"/>
          <w:szCs w:val="24"/>
        </w:rPr>
        <mc:AlternateContent>
          <mc:Choice Requires="wps">
            <w:drawing>
              <wp:anchor distT="45720" distB="45720" distL="114300" distR="114300" simplePos="0" relativeHeight="251681810" behindDoc="0" locked="0" layoutInCell="1" allowOverlap="1" wp14:anchorId="27D447F9" wp14:editId="3E0090F7">
                <wp:simplePos x="0" y="0"/>
                <wp:positionH relativeFrom="margin">
                  <wp:posOffset>1543050</wp:posOffset>
                </wp:positionH>
                <wp:positionV relativeFrom="paragraph">
                  <wp:posOffset>92710</wp:posOffset>
                </wp:positionV>
                <wp:extent cx="3667125" cy="255270"/>
                <wp:effectExtent l="0" t="0" r="9525"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5270"/>
                        </a:xfrm>
                        <a:prstGeom prst="rect">
                          <a:avLst/>
                        </a:prstGeom>
                        <a:solidFill>
                          <a:srgbClr val="FFFFFF"/>
                        </a:solidFill>
                        <a:ln w="9525">
                          <a:noFill/>
                          <a:miter lim="800000"/>
                          <a:headEnd/>
                          <a:tailEnd/>
                        </a:ln>
                      </wps:spPr>
                      <wps:txbx>
                        <w:txbxContent>
                          <w:p w14:paraId="4F8A8D27" w14:textId="770413AC" w:rsidR="00C173E1" w:rsidRPr="00C216EE" w:rsidRDefault="00C173E1" w:rsidP="00C173E1">
                            <w:pPr>
                              <w:spacing w:after="0" w:line="240" w:lineRule="auto"/>
                              <w:jc w:val="right"/>
                              <w:rPr>
                                <w:sz w:val="20"/>
                                <w:szCs w:val="20"/>
                              </w:rPr>
                            </w:pPr>
                            <w:r w:rsidRPr="00C216EE">
                              <w:rPr>
                                <w:sz w:val="20"/>
                                <w:szCs w:val="20"/>
                              </w:rPr>
                              <w:t xml:space="preserve">Figure </w:t>
                            </w:r>
                            <w:r>
                              <w:rPr>
                                <w:sz w:val="20"/>
                                <w:szCs w:val="20"/>
                              </w:rPr>
                              <w:t>2</w:t>
                            </w:r>
                            <w:r w:rsidR="00B36985">
                              <w:rPr>
                                <w:sz w:val="20"/>
                                <w:szCs w:val="20"/>
                              </w:rPr>
                              <w:t>1</w:t>
                            </w:r>
                            <w:r w:rsidRPr="00C216EE">
                              <w:rPr>
                                <w:sz w:val="20"/>
                                <w:szCs w:val="20"/>
                              </w:rPr>
                              <w:t xml:space="preserve"> –</w:t>
                            </w:r>
                            <w:r>
                              <w:rPr>
                                <w:sz w:val="20"/>
                                <w:szCs w:val="20"/>
                              </w:rPr>
                              <w:t>bonus distribution by ethnicity,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D447F9" id="_x0000_s1047" type="#_x0000_t202" style="position:absolute;margin-left:121.5pt;margin-top:7.3pt;width:288.75pt;height:20.1pt;z-index:2516818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" stroked="f">
                <v:textbox style="mso-fit-shape-to-text:t">
                  <w:txbxContent>
                    <w:p w14:paraId="4F8A8D27" w14:textId="770413AC" w:rsidR="00C173E1" w:rsidRPr="00C216EE" w:rsidRDefault="00C173E1" w:rsidP="00C173E1">
                      <w:pPr>
                        <w:spacing w:after="0" w:line="240" w:lineRule="auto"/>
                        <w:jc w:val="right"/>
                        <w:rPr>
                          <w:sz w:val="20"/>
                          <w:szCs w:val="20"/>
                        </w:rPr>
                      </w:pPr>
                      <w:r w:rsidRPr="00C216EE">
                        <w:rPr>
                          <w:sz w:val="20"/>
                          <w:szCs w:val="20"/>
                        </w:rPr>
                        <w:t xml:space="preserve">Figure </w:t>
                      </w:r>
                      <w:r>
                        <w:rPr>
                          <w:sz w:val="20"/>
                          <w:szCs w:val="20"/>
                        </w:rPr>
                        <w:t>2</w:t>
                      </w:r>
                      <w:r w:rsidR="00B36985">
                        <w:rPr>
                          <w:sz w:val="20"/>
                          <w:szCs w:val="20"/>
                        </w:rPr>
                        <w:t>1</w:t>
                      </w:r>
                      <w:r w:rsidRPr="00C216EE">
                        <w:rPr>
                          <w:sz w:val="20"/>
                          <w:szCs w:val="20"/>
                        </w:rPr>
                        <w:t xml:space="preserve"> –</w:t>
                      </w:r>
                      <w:r>
                        <w:rPr>
                          <w:sz w:val="20"/>
                          <w:szCs w:val="20"/>
                        </w:rPr>
                        <w:t>bonus distribution by ethnicity, 2021-22</w:t>
                      </w:r>
                    </w:p>
                  </w:txbxContent>
                </v:textbox>
                <w10:wrap type="square" anchorx="margin"/>
              </v:shape>
            </w:pict>
          </mc:Fallback>
        </mc:AlternateContent>
      </w:r>
    </w:p>
    <w:p w14:paraId="258065BB" w14:textId="3BCD3EBD" w:rsidR="00B45C98" w:rsidRDefault="00B45C98" w:rsidP="00B45C98">
      <w:pPr>
        <w:rPr>
          <w:rFonts w:ascii="Corbel" w:hAnsi="Corbel"/>
          <w:sz w:val="24"/>
          <w:szCs w:val="24"/>
        </w:rPr>
      </w:pPr>
    </w:p>
    <w:p w14:paraId="49CB768C" w14:textId="6B3896EA" w:rsidR="00B45C98" w:rsidRPr="003969BA" w:rsidRDefault="00B45C98" w:rsidP="00B45C98">
      <w:pPr>
        <w:rPr>
          <w:rFonts w:ascii="Corbel" w:hAnsi="Corbel"/>
          <w:sz w:val="24"/>
          <w:szCs w:val="24"/>
        </w:rPr>
      </w:pPr>
      <w:r w:rsidRPr="003969BA">
        <w:rPr>
          <w:rFonts w:ascii="Corbel" w:hAnsi="Corbel"/>
          <w:sz w:val="24"/>
          <w:szCs w:val="24"/>
        </w:rPr>
        <w:t xml:space="preserve">Analysis of ethnicity bonus gaps shown </w:t>
      </w:r>
      <w:r w:rsidR="00392FCD">
        <w:rPr>
          <w:rFonts w:ascii="Corbel" w:hAnsi="Corbel"/>
          <w:sz w:val="24"/>
          <w:szCs w:val="24"/>
        </w:rPr>
        <w:t xml:space="preserve">in figure 20 </w:t>
      </w:r>
      <w:r w:rsidRPr="003969BA">
        <w:rPr>
          <w:rFonts w:ascii="Corbel" w:hAnsi="Corbel"/>
          <w:sz w:val="24"/>
          <w:szCs w:val="24"/>
        </w:rPr>
        <w:t xml:space="preserve">indicates that the mean gap was 26.8% whilst the median was 0%.  </w:t>
      </w:r>
      <w:r w:rsidR="00B36985">
        <w:rPr>
          <w:rFonts w:ascii="Corbel" w:hAnsi="Corbel"/>
          <w:sz w:val="24"/>
          <w:szCs w:val="24"/>
        </w:rPr>
        <w:t xml:space="preserve">Figure 20 shows </w:t>
      </w:r>
      <w:r w:rsidR="009035B3">
        <w:rPr>
          <w:rFonts w:ascii="Corbel" w:hAnsi="Corbel"/>
          <w:sz w:val="24"/>
          <w:szCs w:val="24"/>
        </w:rPr>
        <w:t xml:space="preserve">that </w:t>
      </w:r>
      <w:r w:rsidR="00B36985">
        <w:rPr>
          <w:rFonts w:ascii="Corbel" w:hAnsi="Corbel"/>
          <w:sz w:val="24"/>
          <w:szCs w:val="24"/>
        </w:rPr>
        <w:t>a</w:t>
      </w:r>
      <w:r w:rsidRPr="003969BA">
        <w:rPr>
          <w:rFonts w:ascii="Corbel" w:hAnsi="Corbel"/>
          <w:sz w:val="24"/>
          <w:szCs w:val="24"/>
        </w:rPr>
        <w:t xml:space="preserve"> greater proportion of </w:t>
      </w:r>
      <w:r w:rsidR="009035B3">
        <w:rPr>
          <w:rFonts w:ascii="Corbel" w:hAnsi="Corbel"/>
          <w:sz w:val="24"/>
          <w:szCs w:val="24"/>
        </w:rPr>
        <w:t>W</w:t>
      </w:r>
      <w:r w:rsidRPr="003969BA">
        <w:rPr>
          <w:rFonts w:ascii="Corbel" w:hAnsi="Corbel"/>
          <w:sz w:val="24"/>
          <w:szCs w:val="24"/>
        </w:rPr>
        <w:t>hite colleagues received a bonus (3.6%) compared to Black and global majority colleagues (2.1%).</w:t>
      </w:r>
      <w:r w:rsidR="00210E40">
        <w:rPr>
          <w:rFonts w:ascii="Corbel" w:hAnsi="Corbel"/>
          <w:sz w:val="24"/>
          <w:szCs w:val="24"/>
        </w:rPr>
        <w:t xml:space="preserve">  </w:t>
      </w:r>
      <w:r w:rsidR="00210E40" w:rsidRPr="003969BA">
        <w:rPr>
          <w:rFonts w:ascii="Corbel" w:hAnsi="Corbel"/>
          <w:sz w:val="24"/>
          <w:szCs w:val="24"/>
        </w:rPr>
        <w:t xml:space="preserve">Bonuses are small in number and gaps </w:t>
      </w:r>
      <w:r w:rsidR="00210E40">
        <w:rPr>
          <w:rFonts w:ascii="Corbel" w:hAnsi="Corbel"/>
          <w:sz w:val="24"/>
          <w:szCs w:val="24"/>
        </w:rPr>
        <w:t xml:space="preserve">are likely to </w:t>
      </w:r>
      <w:r w:rsidR="00210E40" w:rsidRPr="003969BA">
        <w:rPr>
          <w:rFonts w:ascii="Corbel" w:hAnsi="Corbel"/>
          <w:sz w:val="24"/>
          <w:szCs w:val="24"/>
        </w:rPr>
        <w:t>fluctuate significantly each year.</w:t>
      </w:r>
    </w:p>
    <w:p w14:paraId="5C9C8A34" w14:textId="77777777" w:rsidR="00CE35DE" w:rsidRPr="003969BA" w:rsidRDefault="00CE35DE" w:rsidP="00890B77">
      <w:pPr>
        <w:rPr>
          <w:rFonts w:ascii="Corbel" w:hAnsi="Corbel"/>
          <w:sz w:val="24"/>
          <w:szCs w:val="24"/>
        </w:rPr>
      </w:pPr>
    </w:p>
    <w:p w14:paraId="29396259" w14:textId="77777777" w:rsidR="00CE35DE" w:rsidRDefault="00CE35DE">
      <w:pPr>
        <w:rPr>
          <w:rFonts w:ascii="Corbel" w:hAnsi="Corbel"/>
          <w:color w:val="4472C4" w:themeColor="accent1"/>
          <w:sz w:val="24"/>
          <w:szCs w:val="24"/>
        </w:rPr>
      </w:pPr>
      <w:r>
        <w:rPr>
          <w:rFonts w:ascii="Corbel" w:hAnsi="Corbel"/>
          <w:color w:val="4472C4" w:themeColor="accent1"/>
          <w:sz w:val="24"/>
          <w:szCs w:val="24"/>
        </w:rPr>
        <w:br w:type="page"/>
      </w:r>
    </w:p>
    <w:p w14:paraId="46C86584" w14:textId="78B09462" w:rsidR="008B702A" w:rsidRDefault="008B702A" w:rsidP="00890B77">
      <w:pPr>
        <w:rPr>
          <w:rFonts w:ascii="Corbel" w:hAnsi="Corbel"/>
          <w:color w:val="4472C4" w:themeColor="accent1"/>
          <w:sz w:val="24"/>
          <w:szCs w:val="24"/>
        </w:rPr>
      </w:pPr>
      <w:r w:rsidRPr="008B702A">
        <w:rPr>
          <w:rFonts w:ascii="Corbel" w:hAnsi="Corbel"/>
          <w:color w:val="4472C4" w:themeColor="accent1"/>
          <w:sz w:val="24"/>
          <w:szCs w:val="24"/>
        </w:rPr>
        <w:lastRenderedPageBreak/>
        <w:t>Disability pay gaps</w:t>
      </w:r>
    </w:p>
    <w:p w14:paraId="2D532532" w14:textId="211718CF" w:rsidR="00FE6592" w:rsidRPr="008B702A" w:rsidRDefault="00FE6592" w:rsidP="00890B77">
      <w:pPr>
        <w:rPr>
          <w:rFonts w:ascii="Corbel" w:hAnsi="Corbel"/>
          <w:color w:val="4472C4" w:themeColor="accent1"/>
          <w:sz w:val="24"/>
          <w:szCs w:val="24"/>
        </w:rPr>
      </w:pPr>
    </w:p>
    <w:tbl>
      <w:tblPr>
        <w:tblW w:w="7655" w:type="dxa"/>
        <w:tblBorders>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gridCol w:w="1842"/>
        <w:gridCol w:w="1985"/>
      </w:tblGrid>
      <w:tr w:rsidR="001B3871" w:rsidRPr="001B3871" w14:paraId="3DF1C9DF" w14:textId="77777777" w:rsidTr="00927F72">
        <w:trPr>
          <w:trHeight w:val="712"/>
        </w:trPr>
        <w:tc>
          <w:tcPr>
            <w:tcW w:w="3828" w:type="dxa"/>
            <w:tcBorders>
              <w:bottom w:val="single" w:sz="4" w:space="0" w:color="auto"/>
            </w:tcBorders>
            <w:shd w:val="clear" w:color="auto" w:fill="auto"/>
            <w:tcMar>
              <w:top w:w="15" w:type="dxa"/>
              <w:left w:w="108" w:type="dxa"/>
              <w:bottom w:w="0" w:type="dxa"/>
              <w:right w:w="108" w:type="dxa"/>
            </w:tcMar>
            <w:vAlign w:val="bottom"/>
            <w:hideMark/>
          </w:tcPr>
          <w:p w14:paraId="53C5C376" w14:textId="77777777" w:rsidR="001B3871" w:rsidRPr="001B3871" w:rsidRDefault="001B3871" w:rsidP="001B3871">
            <w:pPr>
              <w:spacing w:after="0" w:line="240" w:lineRule="auto"/>
              <w:rPr>
                <w:rFonts w:ascii="Corbel" w:hAnsi="Corbel"/>
                <w:sz w:val="24"/>
                <w:szCs w:val="24"/>
              </w:rPr>
            </w:pPr>
          </w:p>
        </w:tc>
        <w:tc>
          <w:tcPr>
            <w:tcW w:w="1842" w:type="dxa"/>
            <w:tcBorders>
              <w:top w:val="single" w:sz="4" w:space="0" w:color="auto"/>
            </w:tcBorders>
            <w:shd w:val="clear" w:color="auto" w:fill="F7CAAC" w:themeFill="accent2" w:themeFillTint="66"/>
            <w:tcMar>
              <w:top w:w="15" w:type="dxa"/>
              <w:left w:w="108" w:type="dxa"/>
              <w:bottom w:w="0" w:type="dxa"/>
              <w:right w:w="108" w:type="dxa"/>
            </w:tcMar>
            <w:vAlign w:val="center"/>
            <w:hideMark/>
          </w:tcPr>
          <w:p w14:paraId="64E866AC" w14:textId="77777777" w:rsidR="001B3871" w:rsidRPr="001B3871" w:rsidRDefault="001B3871" w:rsidP="001B3871">
            <w:pPr>
              <w:spacing w:after="0" w:line="240" w:lineRule="auto"/>
              <w:jc w:val="center"/>
              <w:rPr>
                <w:rFonts w:ascii="Corbel" w:hAnsi="Corbel"/>
                <w:sz w:val="24"/>
                <w:szCs w:val="24"/>
              </w:rPr>
            </w:pPr>
            <w:r w:rsidRPr="001B3871">
              <w:rPr>
                <w:rFonts w:ascii="Corbel" w:hAnsi="Corbel"/>
                <w:b/>
                <w:bCs/>
                <w:sz w:val="24"/>
                <w:szCs w:val="24"/>
              </w:rPr>
              <w:t>2022</w:t>
            </w:r>
          </w:p>
          <w:p w14:paraId="42B7C866" w14:textId="77777777" w:rsidR="001B3871" w:rsidRPr="001B3871" w:rsidRDefault="001B3871" w:rsidP="001B3871">
            <w:pPr>
              <w:spacing w:after="0" w:line="240" w:lineRule="auto"/>
              <w:jc w:val="center"/>
              <w:rPr>
                <w:rFonts w:ascii="Corbel" w:hAnsi="Corbel"/>
                <w:sz w:val="24"/>
                <w:szCs w:val="24"/>
              </w:rPr>
            </w:pPr>
            <w:r w:rsidRPr="001B3871">
              <w:rPr>
                <w:rFonts w:ascii="Corbel" w:hAnsi="Corbel"/>
                <w:b/>
                <w:bCs/>
                <w:sz w:val="24"/>
                <w:szCs w:val="24"/>
              </w:rPr>
              <w:t>(%)</w:t>
            </w:r>
          </w:p>
        </w:tc>
        <w:tc>
          <w:tcPr>
            <w:tcW w:w="1985" w:type="dxa"/>
            <w:tcBorders>
              <w:top w:val="single" w:sz="4" w:space="0" w:color="auto"/>
            </w:tcBorders>
            <w:shd w:val="clear" w:color="auto" w:fill="F7CAAC" w:themeFill="accent2" w:themeFillTint="66"/>
            <w:tcMar>
              <w:top w:w="15" w:type="dxa"/>
              <w:left w:w="108" w:type="dxa"/>
              <w:bottom w:w="0" w:type="dxa"/>
              <w:right w:w="108" w:type="dxa"/>
            </w:tcMar>
            <w:vAlign w:val="center"/>
            <w:hideMark/>
          </w:tcPr>
          <w:p w14:paraId="1F8FCAD2" w14:textId="77777777" w:rsidR="001B3871" w:rsidRPr="001B3871" w:rsidRDefault="001B3871" w:rsidP="001B3871">
            <w:pPr>
              <w:spacing w:after="0" w:line="240" w:lineRule="auto"/>
              <w:jc w:val="center"/>
              <w:rPr>
                <w:rFonts w:ascii="Corbel" w:hAnsi="Corbel"/>
                <w:sz w:val="24"/>
                <w:szCs w:val="24"/>
              </w:rPr>
            </w:pPr>
            <w:r w:rsidRPr="001B3871">
              <w:rPr>
                <w:rFonts w:ascii="Corbel" w:hAnsi="Corbel"/>
                <w:b/>
                <w:bCs/>
                <w:sz w:val="24"/>
                <w:szCs w:val="24"/>
              </w:rPr>
              <w:t>2021</w:t>
            </w:r>
          </w:p>
          <w:p w14:paraId="6A64A4FE" w14:textId="77777777" w:rsidR="001B3871" w:rsidRPr="001B3871" w:rsidRDefault="001B3871" w:rsidP="001B3871">
            <w:pPr>
              <w:spacing w:after="0" w:line="240" w:lineRule="auto"/>
              <w:jc w:val="center"/>
              <w:rPr>
                <w:rFonts w:ascii="Corbel" w:hAnsi="Corbel"/>
                <w:sz w:val="24"/>
                <w:szCs w:val="24"/>
              </w:rPr>
            </w:pPr>
            <w:r w:rsidRPr="001B3871">
              <w:rPr>
                <w:rFonts w:ascii="Corbel" w:hAnsi="Corbel"/>
                <w:b/>
                <w:bCs/>
                <w:sz w:val="24"/>
                <w:szCs w:val="24"/>
              </w:rPr>
              <w:t>(%)</w:t>
            </w:r>
          </w:p>
        </w:tc>
      </w:tr>
      <w:tr w:rsidR="001B3871" w:rsidRPr="001B3871" w14:paraId="3533FA7C" w14:textId="77777777" w:rsidTr="0070322B">
        <w:trPr>
          <w:trHeight w:val="455"/>
        </w:trPr>
        <w:tc>
          <w:tcPr>
            <w:tcW w:w="3828" w:type="dxa"/>
            <w:tcBorders>
              <w:top w:val="single" w:sz="4" w:space="0" w:color="auto"/>
              <w:left w:val="single" w:sz="4" w:space="0" w:color="auto"/>
            </w:tcBorders>
            <w:shd w:val="clear" w:color="auto" w:fill="auto"/>
            <w:tcMar>
              <w:top w:w="15" w:type="dxa"/>
              <w:left w:w="108" w:type="dxa"/>
              <w:bottom w:w="0" w:type="dxa"/>
              <w:right w:w="108" w:type="dxa"/>
            </w:tcMar>
            <w:vAlign w:val="center"/>
            <w:hideMark/>
          </w:tcPr>
          <w:p w14:paraId="7FDA3F48" w14:textId="75BEA66B" w:rsidR="001B3871" w:rsidRPr="001B3871" w:rsidRDefault="00927F72" w:rsidP="001B3871">
            <w:pPr>
              <w:spacing w:after="0" w:line="240" w:lineRule="auto"/>
              <w:rPr>
                <w:rFonts w:ascii="Corbel" w:hAnsi="Corbel"/>
                <w:sz w:val="24"/>
                <w:szCs w:val="24"/>
              </w:rPr>
            </w:pPr>
            <w:r>
              <w:rPr>
                <w:rFonts w:ascii="Corbel" w:hAnsi="Corbel"/>
                <w:sz w:val="24"/>
                <w:szCs w:val="24"/>
              </w:rPr>
              <w:t>Mean d</w:t>
            </w:r>
            <w:r w:rsidR="001B3871" w:rsidRPr="001B3871">
              <w:rPr>
                <w:rFonts w:ascii="Corbel" w:hAnsi="Corbel"/>
                <w:sz w:val="24"/>
                <w:szCs w:val="24"/>
              </w:rPr>
              <w:t>isability pay gap</w:t>
            </w:r>
          </w:p>
        </w:tc>
        <w:tc>
          <w:tcPr>
            <w:tcW w:w="1842" w:type="dxa"/>
            <w:shd w:val="clear" w:color="auto" w:fill="auto"/>
            <w:tcMar>
              <w:top w:w="15" w:type="dxa"/>
              <w:left w:w="108" w:type="dxa"/>
              <w:bottom w:w="0" w:type="dxa"/>
              <w:right w:w="108" w:type="dxa"/>
            </w:tcMar>
            <w:vAlign w:val="center"/>
            <w:hideMark/>
          </w:tcPr>
          <w:p w14:paraId="72BAB419" w14:textId="77777777" w:rsidR="001B3871" w:rsidRPr="001B3871" w:rsidRDefault="001B3871" w:rsidP="001B3871">
            <w:pPr>
              <w:spacing w:after="0" w:line="240" w:lineRule="auto"/>
              <w:jc w:val="center"/>
              <w:rPr>
                <w:rFonts w:ascii="Corbel" w:hAnsi="Corbel"/>
                <w:sz w:val="24"/>
                <w:szCs w:val="24"/>
              </w:rPr>
            </w:pPr>
            <w:r w:rsidRPr="001B3871">
              <w:rPr>
                <w:rFonts w:ascii="Corbel" w:hAnsi="Corbel"/>
                <w:sz w:val="24"/>
                <w:szCs w:val="24"/>
              </w:rPr>
              <w:t>10.0</w:t>
            </w:r>
          </w:p>
        </w:tc>
        <w:tc>
          <w:tcPr>
            <w:tcW w:w="1985" w:type="dxa"/>
            <w:shd w:val="clear" w:color="auto" w:fill="auto"/>
            <w:tcMar>
              <w:top w:w="15" w:type="dxa"/>
              <w:left w:w="108" w:type="dxa"/>
              <w:bottom w:w="0" w:type="dxa"/>
              <w:right w:w="108" w:type="dxa"/>
            </w:tcMar>
            <w:vAlign w:val="center"/>
            <w:hideMark/>
          </w:tcPr>
          <w:p w14:paraId="7F9C2887" w14:textId="77777777" w:rsidR="001B3871" w:rsidRPr="001B3871" w:rsidRDefault="001B3871" w:rsidP="001B3871">
            <w:pPr>
              <w:spacing w:after="0" w:line="240" w:lineRule="auto"/>
              <w:jc w:val="center"/>
              <w:rPr>
                <w:rFonts w:ascii="Corbel" w:hAnsi="Corbel"/>
                <w:sz w:val="24"/>
                <w:szCs w:val="24"/>
              </w:rPr>
            </w:pPr>
            <w:r w:rsidRPr="001B3871">
              <w:rPr>
                <w:rFonts w:ascii="Corbel" w:hAnsi="Corbel"/>
                <w:sz w:val="24"/>
                <w:szCs w:val="24"/>
              </w:rPr>
              <w:t>8.5</w:t>
            </w:r>
          </w:p>
        </w:tc>
      </w:tr>
      <w:tr w:rsidR="001B3871" w:rsidRPr="001B3871" w14:paraId="1FE6E513" w14:textId="77777777" w:rsidTr="0070322B">
        <w:trPr>
          <w:trHeight w:val="533"/>
        </w:trPr>
        <w:tc>
          <w:tcPr>
            <w:tcW w:w="3828" w:type="dxa"/>
            <w:tcBorders>
              <w:top w:val="single" w:sz="4" w:space="0" w:color="auto"/>
              <w:left w:val="single" w:sz="4" w:space="0" w:color="auto"/>
            </w:tcBorders>
            <w:shd w:val="clear" w:color="auto" w:fill="auto"/>
            <w:tcMar>
              <w:top w:w="15" w:type="dxa"/>
              <w:left w:w="108" w:type="dxa"/>
              <w:bottom w:w="0" w:type="dxa"/>
              <w:right w:w="108" w:type="dxa"/>
            </w:tcMar>
            <w:vAlign w:val="center"/>
            <w:hideMark/>
          </w:tcPr>
          <w:p w14:paraId="261D2BFC" w14:textId="476AD0AE" w:rsidR="001B3871" w:rsidRPr="001B3871" w:rsidRDefault="00927F72" w:rsidP="001B3871">
            <w:pPr>
              <w:spacing w:after="0" w:line="240" w:lineRule="auto"/>
              <w:rPr>
                <w:rFonts w:ascii="Corbel" w:hAnsi="Corbel"/>
                <w:sz w:val="24"/>
                <w:szCs w:val="24"/>
              </w:rPr>
            </w:pPr>
            <w:r>
              <w:rPr>
                <w:rFonts w:ascii="Corbel" w:hAnsi="Corbel"/>
                <w:sz w:val="24"/>
                <w:szCs w:val="24"/>
              </w:rPr>
              <w:t xml:space="preserve">Median </w:t>
            </w:r>
            <w:r w:rsidR="0070322B">
              <w:rPr>
                <w:rFonts w:ascii="Corbel" w:hAnsi="Corbel"/>
                <w:sz w:val="24"/>
                <w:szCs w:val="24"/>
              </w:rPr>
              <w:t>d</w:t>
            </w:r>
            <w:r w:rsidR="001B3871" w:rsidRPr="001B3871">
              <w:rPr>
                <w:rFonts w:ascii="Corbel" w:hAnsi="Corbel"/>
                <w:sz w:val="24"/>
                <w:szCs w:val="24"/>
              </w:rPr>
              <w:t>isability pay gap</w:t>
            </w:r>
          </w:p>
        </w:tc>
        <w:tc>
          <w:tcPr>
            <w:tcW w:w="1842" w:type="dxa"/>
            <w:shd w:val="clear" w:color="auto" w:fill="auto"/>
            <w:tcMar>
              <w:top w:w="15" w:type="dxa"/>
              <w:left w:w="108" w:type="dxa"/>
              <w:bottom w:w="0" w:type="dxa"/>
              <w:right w:w="108" w:type="dxa"/>
            </w:tcMar>
            <w:vAlign w:val="center"/>
            <w:hideMark/>
          </w:tcPr>
          <w:p w14:paraId="482D1A38" w14:textId="77777777" w:rsidR="001B3871" w:rsidRPr="001B3871" w:rsidRDefault="001B3871" w:rsidP="001B3871">
            <w:pPr>
              <w:spacing w:after="0" w:line="240" w:lineRule="auto"/>
              <w:jc w:val="center"/>
              <w:rPr>
                <w:rFonts w:ascii="Corbel" w:hAnsi="Corbel"/>
                <w:sz w:val="24"/>
                <w:szCs w:val="24"/>
              </w:rPr>
            </w:pPr>
            <w:r w:rsidRPr="001B3871">
              <w:rPr>
                <w:rFonts w:ascii="Corbel" w:hAnsi="Corbel"/>
                <w:sz w:val="24"/>
                <w:szCs w:val="24"/>
              </w:rPr>
              <w:t>9.9</w:t>
            </w:r>
          </w:p>
        </w:tc>
        <w:tc>
          <w:tcPr>
            <w:tcW w:w="1985" w:type="dxa"/>
            <w:shd w:val="clear" w:color="auto" w:fill="auto"/>
            <w:tcMar>
              <w:top w:w="15" w:type="dxa"/>
              <w:left w:w="108" w:type="dxa"/>
              <w:bottom w:w="0" w:type="dxa"/>
              <w:right w:w="108" w:type="dxa"/>
            </w:tcMar>
            <w:vAlign w:val="center"/>
            <w:hideMark/>
          </w:tcPr>
          <w:p w14:paraId="0553AE9D" w14:textId="77777777" w:rsidR="001B3871" w:rsidRPr="001B3871" w:rsidRDefault="001B3871" w:rsidP="001B3871">
            <w:pPr>
              <w:spacing w:after="0" w:line="240" w:lineRule="auto"/>
              <w:jc w:val="center"/>
              <w:rPr>
                <w:rFonts w:ascii="Corbel" w:hAnsi="Corbel"/>
                <w:sz w:val="24"/>
                <w:szCs w:val="24"/>
              </w:rPr>
            </w:pPr>
            <w:r w:rsidRPr="001B3871">
              <w:rPr>
                <w:rFonts w:ascii="Corbel" w:hAnsi="Corbel"/>
                <w:sz w:val="24"/>
                <w:szCs w:val="24"/>
              </w:rPr>
              <w:t>17.5</w:t>
            </w:r>
          </w:p>
        </w:tc>
      </w:tr>
    </w:tbl>
    <w:p w14:paraId="47DA4A91" w14:textId="0E1F8FC6" w:rsidR="001B3871" w:rsidRDefault="00927F72" w:rsidP="00890B77">
      <w:pPr>
        <w:rPr>
          <w:rFonts w:ascii="Corbel" w:hAnsi="Corbel"/>
          <w:sz w:val="24"/>
          <w:szCs w:val="24"/>
        </w:rPr>
      </w:pPr>
      <w:r w:rsidRPr="00C216EE">
        <w:rPr>
          <w:rFonts w:ascii="Corbel" w:hAnsi="Corbel"/>
          <w:noProof/>
          <w:sz w:val="24"/>
          <w:szCs w:val="24"/>
        </w:rPr>
        <mc:AlternateContent>
          <mc:Choice Requires="wps">
            <w:drawing>
              <wp:anchor distT="45720" distB="45720" distL="114300" distR="114300" simplePos="0" relativeHeight="251683858" behindDoc="0" locked="0" layoutInCell="1" allowOverlap="1" wp14:anchorId="1D85D7AC" wp14:editId="4C8B3C62">
                <wp:simplePos x="0" y="0"/>
                <wp:positionH relativeFrom="margin">
                  <wp:posOffset>1838325</wp:posOffset>
                </wp:positionH>
                <wp:positionV relativeFrom="paragraph">
                  <wp:posOffset>85725</wp:posOffset>
                </wp:positionV>
                <wp:extent cx="3667125" cy="255270"/>
                <wp:effectExtent l="0" t="0" r="9525"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5270"/>
                        </a:xfrm>
                        <a:prstGeom prst="rect">
                          <a:avLst/>
                        </a:prstGeom>
                        <a:solidFill>
                          <a:srgbClr val="FFFFFF"/>
                        </a:solidFill>
                        <a:ln w="9525">
                          <a:noFill/>
                          <a:miter lim="800000"/>
                          <a:headEnd/>
                          <a:tailEnd/>
                        </a:ln>
                      </wps:spPr>
                      <wps:txbx>
                        <w:txbxContent>
                          <w:p w14:paraId="09C09DEC" w14:textId="46C963EC" w:rsidR="00927F72" w:rsidRPr="00C216EE" w:rsidRDefault="00927F72" w:rsidP="00927F72">
                            <w:pPr>
                              <w:spacing w:after="0" w:line="240" w:lineRule="auto"/>
                              <w:jc w:val="right"/>
                              <w:rPr>
                                <w:sz w:val="20"/>
                                <w:szCs w:val="20"/>
                              </w:rPr>
                            </w:pPr>
                            <w:r w:rsidRPr="00C216EE">
                              <w:rPr>
                                <w:sz w:val="20"/>
                                <w:szCs w:val="20"/>
                              </w:rPr>
                              <w:t xml:space="preserve">Figure </w:t>
                            </w:r>
                            <w:r>
                              <w:rPr>
                                <w:sz w:val="20"/>
                                <w:szCs w:val="20"/>
                              </w:rPr>
                              <w:t>2</w:t>
                            </w:r>
                            <w:r w:rsidR="0070322B">
                              <w:rPr>
                                <w:sz w:val="20"/>
                                <w:szCs w:val="20"/>
                              </w:rPr>
                              <w:t>2</w:t>
                            </w:r>
                            <w:r w:rsidRPr="00C216EE">
                              <w:rPr>
                                <w:sz w:val="20"/>
                                <w:szCs w:val="20"/>
                              </w:rPr>
                              <w:t xml:space="preserve"> –</w:t>
                            </w:r>
                            <w:r w:rsidR="0070322B">
                              <w:rPr>
                                <w:sz w:val="20"/>
                                <w:szCs w:val="20"/>
                              </w:rPr>
                              <w:t>disability pay gaps,</w:t>
                            </w:r>
                            <w:r>
                              <w:rPr>
                                <w:sz w:val="20"/>
                                <w:szCs w:val="20"/>
                              </w:rPr>
                              <w:t xml:space="preserve">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85D7AC" id="_x0000_s1048" type="#_x0000_t202" style="position:absolute;margin-left:144.75pt;margin-top:6.75pt;width:288.75pt;height:20.1pt;z-index:2516838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" stroked="f">
                <v:textbox style="mso-fit-shape-to-text:t">
                  <w:txbxContent>
                    <w:p w14:paraId="09C09DEC" w14:textId="46C963EC" w:rsidR="00927F72" w:rsidRPr="00C216EE" w:rsidRDefault="00927F72" w:rsidP="00927F72">
                      <w:pPr>
                        <w:spacing w:after="0" w:line="240" w:lineRule="auto"/>
                        <w:jc w:val="right"/>
                        <w:rPr>
                          <w:sz w:val="20"/>
                          <w:szCs w:val="20"/>
                        </w:rPr>
                      </w:pPr>
                      <w:r w:rsidRPr="00C216EE">
                        <w:rPr>
                          <w:sz w:val="20"/>
                          <w:szCs w:val="20"/>
                        </w:rPr>
                        <w:t xml:space="preserve">Figure </w:t>
                      </w:r>
                      <w:r>
                        <w:rPr>
                          <w:sz w:val="20"/>
                          <w:szCs w:val="20"/>
                        </w:rPr>
                        <w:t>2</w:t>
                      </w:r>
                      <w:r w:rsidR="0070322B">
                        <w:rPr>
                          <w:sz w:val="20"/>
                          <w:szCs w:val="20"/>
                        </w:rPr>
                        <w:t>2</w:t>
                      </w:r>
                      <w:r w:rsidRPr="00C216EE">
                        <w:rPr>
                          <w:sz w:val="20"/>
                          <w:szCs w:val="20"/>
                        </w:rPr>
                        <w:t xml:space="preserve"> –</w:t>
                      </w:r>
                      <w:r w:rsidR="0070322B">
                        <w:rPr>
                          <w:sz w:val="20"/>
                          <w:szCs w:val="20"/>
                        </w:rPr>
                        <w:t>disability pay gaps,</w:t>
                      </w:r>
                      <w:r>
                        <w:rPr>
                          <w:sz w:val="20"/>
                          <w:szCs w:val="20"/>
                        </w:rPr>
                        <w:t xml:space="preserve"> 2021-22</w:t>
                      </w:r>
                    </w:p>
                  </w:txbxContent>
                </v:textbox>
                <w10:wrap type="square" anchorx="margin"/>
              </v:shape>
            </w:pict>
          </mc:Fallback>
        </mc:AlternateContent>
      </w:r>
    </w:p>
    <w:p w14:paraId="32B985BC" w14:textId="77777777" w:rsidR="00927F72" w:rsidRDefault="00927F72" w:rsidP="00890B77">
      <w:pPr>
        <w:rPr>
          <w:rFonts w:ascii="Corbel" w:hAnsi="Corbel"/>
          <w:sz w:val="24"/>
          <w:szCs w:val="24"/>
        </w:rPr>
      </w:pPr>
    </w:p>
    <w:p w14:paraId="6139B4D2" w14:textId="1498531F" w:rsidR="0074075A" w:rsidRPr="003969BA" w:rsidRDefault="00890B77" w:rsidP="00890B77">
      <w:pPr>
        <w:rPr>
          <w:rFonts w:ascii="Corbel" w:hAnsi="Corbel"/>
          <w:sz w:val="24"/>
          <w:szCs w:val="24"/>
        </w:rPr>
      </w:pPr>
      <w:r w:rsidRPr="003969BA">
        <w:rPr>
          <w:rFonts w:ascii="Corbel" w:hAnsi="Corbel"/>
          <w:sz w:val="24"/>
          <w:szCs w:val="24"/>
        </w:rPr>
        <w:t>I</w:t>
      </w:r>
      <w:r w:rsidR="0074075A" w:rsidRPr="003969BA">
        <w:rPr>
          <w:rFonts w:ascii="Corbel" w:hAnsi="Corbel"/>
          <w:sz w:val="24"/>
          <w:szCs w:val="24"/>
        </w:rPr>
        <w:t>n 2022, the mean disability pay gap was 10%, an increase of 1.5 percentage points since 2021.  The median pay gap was 9.9%, a decrease of 7.6 percentage points since 2021.  Disability bonus gaps are not shown due to low numbers.</w:t>
      </w:r>
    </w:p>
    <w:p w14:paraId="100D3800" w14:textId="708A858C" w:rsidR="00094666" w:rsidRPr="00ED5EAC" w:rsidRDefault="004F5B7F" w:rsidP="00ED5EAC">
      <w:pPr>
        <w:ind w:left="360" w:hanging="360"/>
        <w:rPr>
          <w:color w:val="0070C0"/>
          <w:sz w:val="24"/>
          <w:szCs w:val="24"/>
        </w:rPr>
      </w:pPr>
      <w:r w:rsidRPr="00A477B0">
        <w:rPr>
          <w:color w:val="0070C0"/>
          <w:sz w:val="24"/>
          <w:szCs w:val="24"/>
        </w:rPr>
        <w:t>Disability representation</w:t>
      </w:r>
    </w:p>
    <w:p w14:paraId="2EE9027E" w14:textId="13B35C49" w:rsidR="00932020" w:rsidRDefault="00927F72" w:rsidP="000009B1">
      <w:pPr>
        <w:rPr>
          <w:rFonts w:ascii="Corbel" w:hAnsi="Corbel"/>
          <w:sz w:val="24"/>
          <w:szCs w:val="24"/>
        </w:rPr>
      </w:pPr>
      <w:r>
        <w:rPr>
          <w:noProof/>
        </w:rPr>
        <w:drawing>
          <wp:inline distT="0" distB="0" distL="0" distR="0" wp14:anchorId="62E81949" wp14:editId="4C58DA48">
            <wp:extent cx="5657850" cy="3375025"/>
            <wp:effectExtent l="0" t="0" r="0" b="15875"/>
            <wp:docPr id="203" name="Chart 203">
              <a:extLst xmlns:a="http://schemas.openxmlformats.org/drawingml/2006/main">
                <a:ext uri="{FF2B5EF4-FFF2-40B4-BE49-F238E27FC236}">
                  <a16:creationId xmlns:a16="http://schemas.microsoft.com/office/drawing/2014/main" id="{9F1B413F-562F-D2FC-4710-8BDF44A21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33783B" w14:textId="77777777" w:rsidR="00932020" w:rsidRDefault="00932020" w:rsidP="000009B1">
      <w:pPr>
        <w:rPr>
          <w:rFonts w:ascii="Corbel" w:hAnsi="Corbel"/>
          <w:sz w:val="24"/>
          <w:szCs w:val="24"/>
        </w:rPr>
      </w:pPr>
    </w:p>
    <w:p w14:paraId="4C306EA6" w14:textId="3C1163EE" w:rsidR="0074075A" w:rsidRPr="004F5B7F" w:rsidRDefault="000009B1" w:rsidP="000009B1">
      <w:pPr>
        <w:rPr>
          <w:rFonts w:ascii="Corbel" w:hAnsi="Corbel"/>
          <w:sz w:val="24"/>
          <w:szCs w:val="24"/>
        </w:rPr>
      </w:pPr>
      <w:r w:rsidRPr="004F5B7F">
        <w:rPr>
          <w:rFonts w:ascii="Corbel" w:hAnsi="Corbel"/>
          <w:sz w:val="24"/>
          <w:szCs w:val="24"/>
        </w:rPr>
        <w:t>T</w:t>
      </w:r>
      <w:r w:rsidR="0074075A" w:rsidRPr="004F5B7F">
        <w:rPr>
          <w:rFonts w:ascii="Corbel" w:hAnsi="Corbel"/>
          <w:sz w:val="24"/>
          <w:szCs w:val="24"/>
        </w:rPr>
        <w:t>he representation of disabled and non-disabled staff within four pay quartiles, indicat</w:t>
      </w:r>
      <w:r w:rsidR="004F5B7F">
        <w:rPr>
          <w:rFonts w:ascii="Corbel" w:hAnsi="Corbel"/>
          <w:sz w:val="24"/>
          <w:szCs w:val="24"/>
        </w:rPr>
        <w:t>e</w:t>
      </w:r>
      <w:r w:rsidR="0074075A" w:rsidRPr="004F5B7F">
        <w:rPr>
          <w:rFonts w:ascii="Corbel" w:hAnsi="Corbel"/>
          <w:sz w:val="24"/>
          <w:szCs w:val="24"/>
        </w:rPr>
        <w:t xml:space="preserve"> why the gaps have changed.  There has been growth in the number of disabled staff in every pay quartile except the lower pay quartile (Band A), and this is likely to account for the fall in the median pay gap.  The most marked increase – 5.6 percentage points – is in the upper middle pay quartile (Band C).</w:t>
      </w:r>
    </w:p>
    <w:p w14:paraId="129C4DE7" w14:textId="77777777" w:rsidR="00464969" w:rsidRDefault="00464969" w:rsidP="00464969">
      <w:pPr>
        <w:rPr>
          <w:rFonts w:ascii="Corbel" w:hAnsi="Corbel"/>
          <w:sz w:val="24"/>
          <w:szCs w:val="24"/>
        </w:rPr>
      </w:pPr>
    </w:p>
    <w:p w14:paraId="30EBB8A7" w14:textId="03A57D46" w:rsidR="00ED5EAC" w:rsidRDefault="00ED5EAC" w:rsidP="00464969">
      <w:pPr>
        <w:rPr>
          <w:rFonts w:ascii="Corbel" w:hAnsi="Corbel"/>
          <w:sz w:val="24"/>
          <w:szCs w:val="24"/>
        </w:rPr>
      </w:pPr>
    </w:p>
    <w:p w14:paraId="4C67C36B" w14:textId="77777777" w:rsidR="00ED5EAC" w:rsidRPr="004F5B7F" w:rsidRDefault="00ED5EAC" w:rsidP="00464969">
      <w:pPr>
        <w:rPr>
          <w:rFonts w:ascii="Corbel" w:hAnsi="Corbel"/>
          <w:sz w:val="24"/>
          <w:szCs w:val="24"/>
        </w:rPr>
      </w:pPr>
    </w:p>
    <w:sectPr w:rsidR="00ED5EAC" w:rsidRPr="004F5B7F" w:rsidSect="002F3E80">
      <w:headerReference w:type="default" r:id="rId2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1565" w14:textId="77777777" w:rsidR="00B46FFA" w:rsidRDefault="00B46FFA" w:rsidP="00AB2A9E">
      <w:pPr>
        <w:spacing w:after="0" w:line="240" w:lineRule="auto"/>
      </w:pPr>
      <w:r>
        <w:separator/>
      </w:r>
    </w:p>
  </w:endnote>
  <w:endnote w:type="continuationSeparator" w:id="0">
    <w:p w14:paraId="1D5DFE01" w14:textId="77777777" w:rsidR="00B46FFA" w:rsidRDefault="00B46FFA" w:rsidP="00AB2A9E">
      <w:pPr>
        <w:spacing w:after="0" w:line="240" w:lineRule="auto"/>
      </w:pPr>
      <w:r>
        <w:continuationSeparator/>
      </w:r>
    </w:p>
  </w:endnote>
  <w:endnote w:type="continuationNotice" w:id="1">
    <w:p w14:paraId="4ED2F095" w14:textId="77777777" w:rsidR="00B46FFA" w:rsidRDefault="00B46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C4C4" w14:textId="77777777" w:rsidR="00B46FFA" w:rsidRDefault="00B46FFA" w:rsidP="00AB2A9E">
      <w:pPr>
        <w:spacing w:after="0" w:line="240" w:lineRule="auto"/>
      </w:pPr>
      <w:r>
        <w:separator/>
      </w:r>
    </w:p>
  </w:footnote>
  <w:footnote w:type="continuationSeparator" w:id="0">
    <w:p w14:paraId="7BF8B66E" w14:textId="77777777" w:rsidR="00B46FFA" w:rsidRDefault="00B46FFA" w:rsidP="00AB2A9E">
      <w:pPr>
        <w:spacing w:after="0" w:line="240" w:lineRule="auto"/>
      </w:pPr>
      <w:r>
        <w:continuationSeparator/>
      </w:r>
    </w:p>
  </w:footnote>
  <w:footnote w:type="continuationNotice" w:id="1">
    <w:p w14:paraId="102179AF" w14:textId="77777777" w:rsidR="00B46FFA" w:rsidRDefault="00B46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61067"/>
      <w:docPartObj>
        <w:docPartGallery w:val="Page Numbers (Top of Page)"/>
        <w:docPartUnique/>
      </w:docPartObj>
    </w:sdtPr>
    <w:sdtEndPr>
      <w:rPr>
        <w:noProof/>
      </w:rPr>
    </w:sdtEndPr>
    <w:sdtContent>
      <w:p w14:paraId="15AAE253" w14:textId="5302B7A9" w:rsidR="00AB2A9E" w:rsidRDefault="00AB2A9E">
        <w:pPr>
          <w:pStyle w:val="Header"/>
        </w:pPr>
        <w:r>
          <w:fldChar w:fldCharType="begin"/>
        </w:r>
        <w:r>
          <w:instrText xml:space="preserve"> PAGE   \* MERGEFORMAT </w:instrText>
        </w:r>
        <w:r>
          <w:fldChar w:fldCharType="separate"/>
        </w:r>
        <w:r>
          <w:rPr>
            <w:noProof/>
          </w:rPr>
          <w:t>2</w:t>
        </w:r>
        <w:r>
          <w:rPr>
            <w:noProof/>
          </w:rPr>
          <w:fldChar w:fldCharType="end"/>
        </w:r>
      </w:p>
    </w:sdtContent>
  </w:sdt>
  <w:p w14:paraId="159103F4" w14:textId="77777777" w:rsidR="00AB2A9E" w:rsidRDefault="00AB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F7A"/>
    <w:multiLevelType w:val="hybridMultilevel"/>
    <w:tmpl w:val="E35CB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678E0"/>
    <w:multiLevelType w:val="hybridMultilevel"/>
    <w:tmpl w:val="1D8E33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C4118"/>
    <w:multiLevelType w:val="hybridMultilevel"/>
    <w:tmpl w:val="D57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5F69"/>
    <w:multiLevelType w:val="multilevel"/>
    <w:tmpl w:val="F48A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C2D1D"/>
    <w:multiLevelType w:val="hybridMultilevel"/>
    <w:tmpl w:val="DB921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B036A5"/>
    <w:multiLevelType w:val="multilevel"/>
    <w:tmpl w:val="1184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E5E28"/>
    <w:multiLevelType w:val="hybridMultilevel"/>
    <w:tmpl w:val="CA48C6D2"/>
    <w:lvl w:ilvl="0" w:tplc="F006B9F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E1394"/>
    <w:multiLevelType w:val="hybridMultilevel"/>
    <w:tmpl w:val="A000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BE59E8"/>
    <w:multiLevelType w:val="hybridMultilevel"/>
    <w:tmpl w:val="D772A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C23FC"/>
    <w:multiLevelType w:val="hybridMultilevel"/>
    <w:tmpl w:val="E2906C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C01178"/>
    <w:multiLevelType w:val="hybridMultilevel"/>
    <w:tmpl w:val="AC025BD0"/>
    <w:lvl w:ilvl="0" w:tplc="EFB80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8482F"/>
    <w:multiLevelType w:val="hybridMultilevel"/>
    <w:tmpl w:val="1384FCDE"/>
    <w:lvl w:ilvl="0" w:tplc="BA363428">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454F4"/>
    <w:multiLevelType w:val="hybridMultilevel"/>
    <w:tmpl w:val="C1B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07DF"/>
    <w:multiLevelType w:val="hybridMultilevel"/>
    <w:tmpl w:val="59E627F8"/>
    <w:lvl w:ilvl="0" w:tplc="73B41C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C7B3C"/>
    <w:multiLevelType w:val="hybridMultilevel"/>
    <w:tmpl w:val="ABCE8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AE147F"/>
    <w:multiLevelType w:val="hybridMultilevel"/>
    <w:tmpl w:val="34ECCC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645CE"/>
    <w:multiLevelType w:val="hybridMultilevel"/>
    <w:tmpl w:val="6A26C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D67D0A"/>
    <w:multiLevelType w:val="hybridMultilevel"/>
    <w:tmpl w:val="82E03CB6"/>
    <w:lvl w:ilvl="0" w:tplc="C34E074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427D0"/>
    <w:multiLevelType w:val="hybridMultilevel"/>
    <w:tmpl w:val="17E03356"/>
    <w:lvl w:ilvl="0" w:tplc="84288EC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221D5"/>
    <w:multiLevelType w:val="hybridMultilevel"/>
    <w:tmpl w:val="2E167544"/>
    <w:lvl w:ilvl="0" w:tplc="22B02AD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5418C"/>
    <w:multiLevelType w:val="hybridMultilevel"/>
    <w:tmpl w:val="F5F44992"/>
    <w:lvl w:ilvl="0" w:tplc="ECDE89BA">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83064"/>
    <w:multiLevelType w:val="hybridMultilevel"/>
    <w:tmpl w:val="4E8CC0D8"/>
    <w:lvl w:ilvl="0" w:tplc="9C36749C">
      <w:start w:val="1"/>
      <w:numFmt w:val="decimal"/>
      <w:lvlText w:val="%1."/>
      <w:lvlJc w:val="left"/>
      <w:pPr>
        <w:tabs>
          <w:tab w:val="num" w:pos="720"/>
        </w:tabs>
        <w:ind w:left="720" w:hanging="360"/>
      </w:pPr>
    </w:lvl>
    <w:lvl w:ilvl="1" w:tplc="E8848D34" w:tentative="1">
      <w:start w:val="1"/>
      <w:numFmt w:val="decimal"/>
      <w:lvlText w:val="%2."/>
      <w:lvlJc w:val="left"/>
      <w:pPr>
        <w:tabs>
          <w:tab w:val="num" w:pos="1440"/>
        </w:tabs>
        <w:ind w:left="1440" w:hanging="360"/>
      </w:pPr>
    </w:lvl>
    <w:lvl w:ilvl="2" w:tplc="94E0D2C4" w:tentative="1">
      <w:start w:val="1"/>
      <w:numFmt w:val="decimal"/>
      <w:lvlText w:val="%3."/>
      <w:lvlJc w:val="left"/>
      <w:pPr>
        <w:tabs>
          <w:tab w:val="num" w:pos="2160"/>
        </w:tabs>
        <w:ind w:left="2160" w:hanging="360"/>
      </w:pPr>
    </w:lvl>
    <w:lvl w:ilvl="3" w:tplc="2C74AAE0" w:tentative="1">
      <w:start w:val="1"/>
      <w:numFmt w:val="decimal"/>
      <w:lvlText w:val="%4."/>
      <w:lvlJc w:val="left"/>
      <w:pPr>
        <w:tabs>
          <w:tab w:val="num" w:pos="2880"/>
        </w:tabs>
        <w:ind w:left="2880" w:hanging="360"/>
      </w:pPr>
    </w:lvl>
    <w:lvl w:ilvl="4" w:tplc="E1B0B662" w:tentative="1">
      <w:start w:val="1"/>
      <w:numFmt w:val="decimal"/>
      <w:lvlText w:val="%5."/>
      <w:lvlJc w:val="left"/>
      <w:pPr>
        <w:tabs>
          <w:tab w:val="num" w:pos="3600"/>
        </w:tabs>
        <w:ind w:left="3600" w:hanging="360"/>
      </w:pPr>
    </w:lvl>
    <w:lvl w:ilvl="5" w:tplc="5D12D5D0" w:tentative="1">
      <w:start w:val="1"/>
      <w:numFmt w:val="decimal"/>
      <w:lvlText w:val="%6."/>
      <w:lvlJc w:val="left"/>
      <w:pPr>
        <w:tabs>
          <w:tab w:val="num" w:pos="4320"/>
        </w:tabs>
        <w:ind w:left="4320" w:hanging="360"/>
      </w:pPr>
    </w:lvl>
    <w:lvl w:ilvl="6" w:tplc="4060034A" w:tentative="1">
      <w:start w:val="1"/>
      <w:numFmt w:val="decimal"/>
      <w:lvlText w:val="%7."/>
      <w:lvlJc w:val="left"/>
      <w:pPr>
        <w:tabs>
          <w:tab w:val="num" w:pos="5040"/>
        </w:tabs>
        <w:ind w:left="5040" w:hanging="360"/>
      </w:pPr>
    </w:lvl>
    <w:lvl w:ilvl="7" w:tplc="AA9C94E0" w:tentative="1">
      <w:start w:val="1"/>
      <w:numFmt w:val="decimal"/>
      <w:lvlText w:val="%8."/>
      <w:lvlJc w:val="left"/>
      <w:pPr>
        <w:tabs>
          <w:tab w:val="num" w:pos="5760"/>
        </w:tabs>
        <w:ind w:left="5760" w:hanging="360"/>
      </w:pPr>
    </w:lvl>
    <w:lvl w:ilvl="8" w:tplc="BC6E48D0" w:tentative="1">
      <w:start w:val="1"/>
      <w:numFmt w:val="decimal"/>
      <w:lvlText w:val="%9."/>
      <w:lvlJc w:val="left"/>
      <w:pPr>
        <w:tabs>
          <w:tab w:val="num" w:pos="6480"/>
        </w:tabs>
        <w:ind w:left="6480" w:hanging="360"/>
      </w:pPr>
    </w:lvl>
  </w:abstractNum>
  <w:abstractNum w:abstractNumId="22" w15:restartNumberingAfterBreak="0">
    <w:nsid w:val="536E6846"/>
    <w:multiLevelType w:val="hybridMultilevel"/>
    <w:tmpl w:val="3FAE4620"/>
    <w:lvl w:ilvl="0" w:tplc="2EF4991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4515D"/>
    <w:multiLevelType w:val="multilevel"/>
    <w:tmpl w:val="52748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A01C7D"/>
    <w:multiLevelType w:val="hybridMultilevel"/>
    <w:tmpl w:val="40D0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543A8C"/>
    <w:multiLevelType w:val="hybridMultilevel"/>
    <w:tmpl w:val="9E4A2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68083F"/>
    <w:multiLevelType w:val="multilevel"/>
    <w:tmpl w:val="11AC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542362"/>
    <w:multiLevelType w:val="hybridMultilevel"/>
    <w:tmpl w:val="27C86BC0"/>
    <w:lvl w:ilvl="0" w:tplc="BDD878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B4C58"/>
    <w:multiLevelType w:val="hybridMultilevel"/>
    <w:tmpl w:val="34A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53008"/>
    <w:multiLevelType w:val="hybridMultilevel"/>
    <w:tmpl w:val="C96A70A2"/>
    <w:lvl w:ilvl="0" w:tplc="4F72471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EE94E0"/>
    <w:multiLevelType w:val="hybridMultilevel"/>
    <w:tmpl w:val="FFFFFFFF"/>
    <w:lvl w:ilvl="0" w:tplc="ED325E40">
      <w:start w:val="7"/>
      <w:numFmt w:val="decimal"/>
      <w:lvlText w:val="%1."/>
      <w:lvlJc w:val="left"/>
      <w:pPr>
        <w:ind w:left="720" w:hanging="360"/>
      </w:pPr>
    </w:lvl>
    <w:lvl w:ilvl="1" w:tplc="4580CB6C">
      <w:start w:val="1"/>
      <w:numFmt w:val="lowerLetter"/>
      <w:lvlText w:val="%2."/>
      <w:lvlJc w:val="left"/>
      <w:pPr>
        <w:ind w:left="1440" w:hanging="360"/>
      </w:pPr>
    </w:lvl>
    <w:lvl w:ilvl="2" w:tplc="8B3E684A">
      <w:start w:val="1"/>
      <w:numFmt w:val="lowerRoman"/>
      <w:lvlText w:val="%3."/>
      <w:lvlJc w:val="right"/>
      <w:pPr>
        <w:ind w:left="2160" w:hanging="180"/>
      </w:pPr>
    </w:lvl>
    <w:lvl w:ilvl="3" w:tplc="4A88CFBA">
      <w:start w:val="1"/>
      <w:numFmt w:val="decimal"/>
      <w:lvlText w:val="%4."/>
      <w:lvlJc w:val="left"/>
      <w:pPr>
        <w:ind w:left="2880" w:hanging="360"/>
      </w:pPr>
    </w:lvl>
    <w:lvl w:ilvl="4" w:tplc="CB3083F0">
      <w:start w:val="1"/>
      <w:numFmt w:val="lowerLetter"/>
      <w:lvlText w:val="%5."/>
      <w:lvlJc w:val="left"/>
      <w:pPr>
        <w:ind w:left="3600" w:hanging="360"/>
      </w:pPr>
    </w:lvl>
    <w:lvl w:ilvl="5" w:tplc="00701A76">
      <w:start w:val="1"/>
      <w:numFmt w:val="lowerRoman"/>
      <w:lvlText w:val="%6."/>
      <w:lvlJc w:val="right"/>
      <w:pPr>
        <w:ind w:left="4320" w:hanging="180"/>
      </w:pPr>
    </w:lvl>
    <w:lvl w:ilvl="6" w:tplc="A7B2FCB8">
      <w:start w:val="1"/>
      <w:numFmt w:val="decimal"/>
      <w:lvlText w:val="%7."/>
      <w:lvlJc w:val="left"/>
      <w:pPr>
        <w:ind w:left="5040" w:hanging="360"/>
      </w:pPr>
    </w:lvl>
    <w:lvl w:ilvl="7" w:tplc="D862D760">
      <w:start w:val="1"/>
      <w:numFmt w:val="lowerLetter"/>
      <w:lvlText w:val="%8."/>
      <w:lvlJc w:val="left"/>
      <w:pPr>
        <w:ind w:left="5760" w:hanging="360"/>
      </w:pPr>
    </w:lvl>
    <w:lvl w:ilvl="8" w:tplc="12664972">
      <w:start w:val="1"/>
      <w:numFmt w:val="lowerRoman"/>
      <w:lvlText w:val="%9."/>
      <w:lvlJc w:val="right"/>
      <w:pPr>
        <w:ind w:left="6480" w:hanging="180"/>
      </w:pPr>
    </w:lvl>
  </w:abstractNum>
  <w:abstractNum w:abstractNumId="31" w15:restartNumberingAfterBreak="0">
    <w:nsid w:val="6D227FE9"/>
    <w:multiLevelType w:val="hybridMultilevel"/>
    <w:tmpl w:val="0F6019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F52589"/>
    <w:multiLevelType w:val="hybridMultilevel"/>
    <w:tmpl w:val="7DB2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B4DD5"/>
    <w:multiLevelType w:val="hybridMultilevel"/>
    <w:tmpl w:val="4B06A366"/>
    <w:lvl w:ilvl="0" w:tplc="3D3A67B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C3AB8"/>
    <w:multiLevelType w:val="hybridMultilevel"/>
    <w:tmpl w:val="AD008358"/>
    <w:lvl w:ilvl="0" w:tplc="1F80C8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120D7C"/>
    <w:multiLevelType w:val="hybridMultilevel"/>
    <w:tmpl w:val="DB4ED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AE01CC"/>
    <w:multiLevelType w:val="multilevel"/>
    <w:tmpl w:val="54C2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7227986">
    <w:abstractNumId w:val="30"/>
  </w:num>
  <w:num w:numId="2" w16cid:durableId="476338184">
    <w:abstractNumId w:val="34"/>
  </w:num>
  <w:num w:numId="3" w16cid:durableId="291907325">
    <w:abstractNumId w:val="20"/>
  </w:num>
  <w:num w:numId="4" w16cid:durableId="1740591519">
    <w:abstractNumId w:val="12"/>
  </w:num>
  <w:num w:numId="5" w16cid:durableId="142703075">
    <w:abstractNumId w:val="4"/>
  </w:num>
  <w:num w:numId="6" w16cid:durableId="452140067">
    <w:abstractNumId w:val="36"/>
  </w:num>
  <w:num w:numId="7" w16cid:durableId="65543148">
    <w:abstractNumId w:val="26"/>
  </w:num>
  <w:num w:numId="8" w16cid:durableId="343285944">
    <w:abstractNumId w:val="5"/>
  </w:num>
  <w:num w:numId="9" w16cid:durableId="542794784">
    <w:abstractNumId w:val="28"/>
  </w:num>
  <w:num w:numId="10" w16cid:durableId="1945838353">
    <w:abstractNumId w:val="0"/>
  </w:num>
  <w:num w:numId="11" w16cid:durableId="1460415209">
    <w:abstractNumId w:val="24"/>
  </w:num>
  <w:num w:numId="12" w16cid:durableId="1983194038">
    <w:abstractNumId w:val="8"/>
  </w:num>
  <w:num w:numId="13" w16cid:durableId="454056293">
    <w:abstractNumId w:val="7"/>
  </w:num>
  <w:num w:numId="14" w16cid:durableId="1419599367">
    <w:abstractNumId w:val="32"/>
  </w:num>
  <w:num w:numId="15" w16cid:durableId="448285883">
    <w:abstractNumId w:val="21"/>
  </w:num>
  <w:num w:numId="16" w16cid:durableId="1228760876">
    <w:abstractNumId w:val="9"/>
  </w:num>
  <w:num w:numId="17" w16cid:durableId="1179855310">
    <w:abstractNumId w:val="13"/>
  </w:num>
  <w:num w:numId="18" w16cid:durableId="2081321882">
    <w:abstractNumId w:val="31"/>
  </w:num>
  <w:num w:numId="19" w16cid:durableId="662513847">
    <w:abstractNumId w:val="2"/>
  </w:num>
  <w:num w:numId="20" w16cid:durableId="895287530">
    <w:abstractNumId w:val="6"/>
  </w:num>
  <w:num w:numId="21" w16cid:durableId="1115782704">
    <w:abstractNumId w:val="16"/>
  </w:num>
  <w:num w:numId="22" w16cid:durableId="1279751031">
    <w:abstractNumId w:val="33"/>
  </w:num>
  <w:num w:numId="23" w16cid:durableId="1655063524">
    <w:abstractNumId w:val="27"/>
  </w:num>
  <w:num w:numId="24" w16cid:durableId="899438659">
    <w:abstractNumId w:val="19"/>
  </w:num>
  <w:num w:numId="25" w16cid:durableId="958027280">
    <w:abstractNumId w:val="35"/>
  </w:num>
  <w:num w:numId="26" w16cid:durableId="1898855370">
    <w:abstractNumId w:val="29"/>
  </w:num>
  <w:num w:numId="27" w16cid:durableId="2025284246">
    <w:abstractNumId w:val="17"/>
  </w:num>
  <w:num w:numId="28" w16cid:durableId="1458833300">
    <w:abstractNumId w:val="18"/>
  </w:num>
  <w:num w:numId="29" w16cid:durableId="1723170255">
    <w:abstractNumId w:val="3"/>
  </w:num>
  <w:num w:numId="30" w16cid:durableId="1279332157">
    <w:abstractNumId w:val="23"/>
  </w:num>
  <w:num w:numId="31" w16cid:durableId="1273440340">
    <w:abstractNumId w:val="14"/>
  </w:num>
  <w:num w:numId="32" w16cid:durableId="1571236523">
    <w:abstractNumId w:val="25"/>
  </w:num>
  <w:num w:numId="33" w16cid:durableId="717896262">
    <w:abstractNumId w:val="15"/>
  </w:num>
  <w:num w:numId="34" w16cid:durableId="994918389">
    <w:abstractNumId w:val="22"/>
  </w:num>
  <w:num w:numId="35" w16cid:durableId="1463696439">
    <w:abstractNumId w:val="10"/>
  </w:num>
  <w:num w:numId="36" w16cid:durableId="1598126598">
    <w:abstractNumId w:val="1"/>
  </w:num>
  <w:num w:numId="37" w16cid:durableId="598834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4A"/>
    <w:rsid w:val="000009B1"/>
    <w:rsid w:val="00007CB5"/>
    <w:rsid w:val="00011889"/>
    <w:rsid w:val="000169D9"/>
    <w:rsid w:val="000212C2"/>
    <w:rsid w:val="000225D4"/>
    <w:rsid w:val="00027728"/>
    <w:rsid w:val="00034ECA"/>
    <w:rsid w:val="00042DC0"/>
    <w:rsid w:val="00056A79"/>
    <w:rsid w:val="000570DA"/>
    <w:rsid w:val="00061D56"/>
    <w:rsid w:val="00064893"/>
    <w:rsid w:val="00065E4E"/>
    <w:rsid w:val="00073CB1"/>
    <w:rsid w:val="00076CF6"/>
    <w:rsid w:val="000834CB"/>
    <w:rsid w:val="000855F5"/>
    <w:rsid w:val="000923FA"/>
    <w:rsid w:val="00094666"/>
    <w:rsid w:val="0009514A"/>
    <w:rsid w:val="000A1CB7"/>
    <w:rsid w:val="000A5A9A"/>
    <w:rsid w:val="000A7770"/>
    <w:rsid w:val="000B371B"/>
    <w:rsid w:val="000B74E4"/>
    <w:rsid w:val="000D5A83"/>
    <w:rsid w:val="000E6F2C"/>
    <w:rsid w:val="00100060"/>
    <w:rsid w:val="00101960"/>
    <w:rsid w:val="001103D8"/>
    <w:rsid w:val="0011258D"/>
    <w:rsid w:val="0012365F"/>
    <w:rsid w:val="00127391"/>
    <w:rsid w:val="001303EF"/>
    <w:rsid w:val="0014155D"/>
    <w:rsid w:val="001458BC"/>
    <w:rsid w:val="00151774"/>
    <w:rsid w:val="0015240F"/>
    <w:rsid w:val="00154930"/>
    <w:rsid w:val="00162932"/>
    <w:rsid w:val="00196D5F"/>
    <w:rsid w:val="001B15CE"/>
    <w:rsid w:val="001B3871"/>
    <w:rsid w:val="001C45BC"/>
    <w:rsid w:val="001D7B1D"/>
    <w:rsid w:val="001E5985"/>
    <w:rsid w:val="001F2E7F"/>
    <w:rsid w:val="001F4631"/>
    <w:rsid w:val="001F508E"/>
    <w:rsid w:val="00205107"/>
    <w:rsid w:val="00210E40"/>
    <w:rsid w:val="00213F41"/>
    <w:rsid w:val="002141D1"/>
    <w:rsid w:val="00220824"/>
    <w:rsid w:val="00223040"/>
    <w:rsid w:val="002238A2"/>
    <w:rsid w:val="00231E33"/>
    <w:rsid w:val="00235141"/>
    <w:rsid w:val="00246169"/>
    <w:rsid w:val="00247D83"/>
    <w:rsid w:val="00250BA4"/>
    <w:rsid w:val="00250FC0"/>
    <w:rsid w:val="00253E0E"/>
    <w:rsid w:val="0026161D"/>
    <w:rsid w:val="002659D2"/>
    <w:rsid w:val="002740A9"/>
    <w:rsid w:val="002826FF"/>
    <w:rsid w:val="002905A3"/>
    <w:rsid w:val="002941A1"/>
    <w:rsid w:val="002A7A7A"/>
    <w:rsid w:val="002B0E09"/>
    <w:rsid w:val="002B5507"/>
    <w:rsid w:val="002C1290"/>
    <w:rsid w:val="002D2B47"/>
    <w:rsid w:val="002E4243"/>
    <w:rsid w:val="002E6593"/>
    <w:rsid w:val="002F3E80"/>
    <w:rsid w:val="002F70C3"/>
    <w:rsid w:val="003102EA"/>
    <w:rsid w:val="00315BD9"/>
    <w:rsid w:val="0033059C"/>
    <w:rsid w:val="00340277"/>
    <w:rsid w:val="00340D35"/>
    <w:rsid w:val="00341F5B"/>
    <w:rsid w:val="00344F03"/>
    <w:rsid w:val="00344F40"/>
    <w:rsid w:val="00345D3F"/>
    <w:rsid w:val="00356434"/>
    <w:rsid w:val="00362406"/>
    <w:rsid w:val="00363806"/>
    <w:rsid w:val="003646F6"/>
    <w:rsid w:val="00370EC0"/>
    <w:rsid w:val="00380CA2"/>
    <w:rsid w:val="00384329"/>
    <w:rsid w:val="00387651"/>
    <w:rsid w:val="00392FCD"/>
    <w:rsid w:val="003969BA"/>
    <w:rsid w:val="00397474"/>
    <w:rsid w:val="003A7664"/>
    <w:rsid w:val="003B7ABA"/>
    <w:rsid w:val="003D1D35"/>
    <w:rsid w:val="003D4B43"/>
    <w:rsid w:val="003D538D"/>
    <w:rsid w:val="003E5CC9"/>
    <w:rsid w:val="003E5DD9"/>
    <w:rsid w:val="003E788F"/>
    <w:rsid w:val="003F1142"/>
    <w:rsid w:val="003F19B6"/>
    <w:rsid w:val="003F766B"/>
    <w:rsid w:val="00405D47"/>
    <w:rsid w:val="004064A7"/>
    <w:rsid w:val="00434DB6"/>
    <w:rsid w:val="00442B2F"/>
    <w:rsid w:val="00455693"/>
    <w:rsid w:val="0046055F"/>
    <w:rsid w:val="0046090C"/>
    <w:rsid w:val="00464969"/>
    <w:rsid w:val="00471C07"/>
    <w:rsid w:val="004747AA"/>
    <w:rsid w:val="00481386"/>
    <w:rsid w:val="0049141E"/>
    <w:rsid w:val="004A5F5B"/>
    <w:rsid w:val="004A6126"/>
    <w:rsid w:val="004B2234"/>
    <w:rsid w:val="004C0BD4"/>
    <w:rsid w:val="004D15C5"/>
    <w:rsid w:val="004D4E65"/>
    <w:rsid w:val="004D75D8"/>
    <w:rsid w:val="004E05FD"/>
    <w:rsid w:val="004F157D"/>
    <w:rsid w:val="004F2CE4"/>
    <w:rsid w:val="004F3730"/>
    <w:rsid w:val="004F5B7F"/>
    <w:rsid w:val="004F6CC9"/>
    <w:rsid w:val="004F78A6"/>
    <w:rsid w:val="00516A89"/>
    <w:rsid w:val="00516EA7"/>
    <w:rsid w:val="00520869"/>
    <w:rsid w:val="00535660"/>
    <w:rsid w:val="00537C9C"/>
    <w:rsid w:val="00541A74"/>
    <w:rsid w:val="0054633E"/>
    <w:rsid w:val="00546F10"/>
    <w:rsid w:val="00551270"/>
    <w:rsid w:val="0055278D"/>
    <w:rsid w:val="00554C92"/>
    <w:rsid w:val="00555833"/>
    <w:rsid w:val="0056450E"/>
    <w:rsid w:val="0058277B"/>
    <w:rsid w:val="00584469"/>
    <w:rsid w:val="0059036F"/>
    <w:rsid w:val="0059320F"/>
    <w:rsid w:val="00596A9F"/>
    <w:rsid w:val="005A0EBC"/>
    <w:rsid w:val="005A5529"/>
    <w:rsid w:val="005A6BD8"/>
    <w:rsid w:val="005B1BAE"/>
    <w:rsid w:val="005B42D3"/>
    <w:rsid w:val="005C026A"/>
    <w:rsid w:val="005C150D"/>
    <w:rsid w:val="005F5C00"/>
    <w:rsid w:val="005F67D8"/>
    <w:rsid w:val="005F77B4"/>
    <w:rsid w:val="00604C8F"/>
    <w:rsid w:val="006215B3"/>
    <w:rsid w:val="00622D32"/>
    <w:rsid w:val="006453E4"/>
    <w:rsid w:val="00657453"/>
    <w:rsid w:val="00662691"/>
    <w:rsid w:val="006627E3"/>
    <w:rsid w:val="00663677"/>
    <w:rsid w:val="00672CDD"/>
    <w:rsid w:val="00675C5D"/>
    <w:rsid w:val="006804F7"/>
    <w:rsid w:val="00680C78"/>
    <w:rsid w:val="00682E5A"/>
    <w:rsid w:val="00684EA0"/>
    <w:rsid w:val="00687AAF"/>
    <w:rsid w:val="0069605D"/>
    <w:rsid w:val="006B395D"/>
    <w:rsid w:val="006B6C85"/>
    <w:rsid w:val="006C3F0B"/>
    <w:rsid w:val="006C68E1"/>
    <w:rsid w:val="006D18AB"/>
    <w:rsid w:val="006D7414"/>
    <w:rsid w:val="006D7B6C"/>
    <w:rsid w:val="006E01BA"/>
    <w:rsid w:val="006E16F9"/>
    <w:rsid w:val="006E456F"/>
    <w:rsid w:val="006E77BE"/>
    <w:rsid w:val="006F0C5B"/>
    <w:rsid w:val="006F3A04"/>
    <w:rsid w:val="00701256"/>
    <w:rsid w:val="0070322B"/>
    <w:rsid w:val="007102C4"/>
    <w:rsid w:val="007354A5"/>
    <w:rsid w:val="00735F98"/>
    <w:rsid w:val="0074075A"/>
    <w:rsid w:val="00740D1A"/>
    <w:rsid w:val="00741DE9"/>
    <w:rsid w:val="00745BBE"/>
    <w:rsid w:val="007469F1"/>
    <w:rsid w:val="00747EF3"/>
    <w:rsid w:val="007704B5"/>
    <w:rsid w:val="00774F65"/>
    <w:rsid w:val="00776C21"/>
    <w:rsid w:val="00784109"/>
    <w:rsid w:val="00794FBD"/>
    <w:rsid w:val="007A2433"/>
    <w:rsid w:val="007A4642"/>
    <w:rsid w:val="007A4AE5"/>
    <w:rsid w:val="007C1C2E"/>
    <w:rsid w:val="007C76B3"/>
    <w:rsid w:val="007C77FB"/>
    <w:rsid w:val="007E0463"/>
    <w:rsid w:val="007E15F4"/>
    <w:rsid w:val="007E3960"/>
    <w:rsid w:val="007E7453"/>
    <w:rsid w:val="008018B6"/>
    <w:rsid w:val="008036A8"/>
    <w:rsid w:val="00807FE7"/>
    <w:rsid w:val="00820D1C"/>
    <w:rsid w:val="00822B4B"/>
    <w:rsid w:val="0083156D"/>
    <w:rsid w:val="00831FE1"/>
    <w:rsid w:val="00840593"/>
    <w:rsid w:val="00842B50"/>
    <w:rsid w:val="00845727"/>
    <w:rsid w:val="00852C31"/>
    <w:rsid w:val="008535E7"/>
    <w:rsid w:val="00871BBC"/>
    <w:rsid w:val="00887A8F"/>
    <w:rsid w:val="00890B77"/>
    <w:rsid w:val="00890E19"/>
    <w:rsid w:val="00894899"/>
    <w:rsid w:val="008A6AF7"/>
    <w:rsid w:val="008A7C89"/>
    <w:rsid w:val="008B2C89"/>
    <w:rsid w:val="008B3E86"/>
    <w:rsid w:val="008B702A"/>
    <w:rsid w:val="008C78CB"/>
    <w:rsid w:val="008D0331"/>
    <w:rsid w:val="008D1884"/>
    <w:rsid w:val="008D198C"/>
    <w:rsid w:val="008D21E1"/>
    <w:rsid w:val="008D2313"/>
    <w:rsid w:val="008E1B0D"/>
    <w:rsid w:val="008E2D0C"/>
    <w:rsid w:val="008E626A"/>
    <w:rsid w:val="008F4EC9"/>
    <w:rsid w:val="009035B3"/>
    <w:rsid w:val="009165B3"/>
    <w:rsid w:val="00921A36"/>
    <w:rsid w:val="00927F72"/>
    <w:rsid w:val="00930A7B"/>
    <w:rsid w:val="00932020"/>
    <w:rsid w:val="00942D59"/>
    <w:rsid w:val="009465A1"/>
    <w:rsid w:val="00950A63"/>
    <w:rsid w:val="00952232"/>
    <w:rsid w:val="00952E33"/>
    <w:rsid w:val="009536BB"/>
    <w:rsid w:val="00953A15"/>
    <w:rsid w:val="009605BE"/>
    <w:rsid w:val="009623E0"/>
    <w:rsid w:val="00962FC7"/>
    <w:rsid w:val="00970048"/>
    <w:rsid w:val="00975F59"/>
    <w:rsid w:val="00985897"/>
    <w:rsid w:val="00985B14"/>
    <w:rsid w:val="009976D4"/>
    <w:rsid w:val="009A25D5"/>
    <w:rsid w:val="009B0B51"/>
    <w:rsid w:val="009C0809"/>
    <w:rsid w:val="009C1F7A"/>
    <w:rsid w:val="009C533C"/>
    <w:rsid w:val="009C544C"/>
    <w:rsid w:val="009C7197"/>
    <w:rsid w:val="009E19D6"/>
    <w:rsid w:val="009E5F82"/>
    <w:rsid w:val="009E6776"/>
    <w:rsid w:val="009E7893"/>
    <w:rsid w:val="009F1FCA"/>
    <w:rsid w:val="009F3394"/>
    <w:rsid w:val="009F4308"/>
    <w:rsid w:val="009F5E76"/>
    <w:rsid w:val="00A05155"/>
    <w:rsid w:val="00A157BC"/>
    <w:rsid w:val="00A20C44"/>
    <w:rsid w:val="00A26C47"/>
    <w:rsid w:val="00A35A43"/>
    <w:rsid w:val="00A40684"/>
    <w:rsid w:val="00A45688"/>
    <w:rsid w:val="00A477B0"/>
    <w:rsid w:val="00A54A2A"/>
    <w:rsid w:val="00A76B67"/>
    <w:rsid w:val="00A84B17"/>
    <w:rsid w:val="00A975FA"/>
    <w:rsid w:val="00AA129D"/>
    <w:rsid w:val="00AB2A9E"/>
    <w:rsid w:val="00AB59C4"/>
    <w:rsid w:val="00AC07FB"/>
    <w:rsid w:val="00AC3FFC"/>
    <w:rsid w:val="00AC7221"/>
    <w:rsid w:val="00AD0992"/>
    <w:rsid w:val="00AD4E4A"/>
    <w:rsid w:val="00AD7010"/>
    <w:rsid w:val="00AE0FE1"/>
    <w:rsid w:val="00AE6368"/>
    <w:rsid w:val="00AF1B74"/>
    <w:rsid w:val="00AF3CEB"/>
    <w:rsid w:val="00B02A3C"/>
    <w:rsid w:val="00B10169"/>
    <w:rsid w:val="00B11280"/>
    <w:rsid w:val="00B12F98"/>
    <w:rsid w:val="00B14612"/>
    <w:rsid w:val="00B3072B"/>
    <w:rsid w:val="00B36985"/>
    <w:rsid w:val="00B41387"/>
    <w:rsid w:val="00B41575"/>
    <w:rsid w:val="00B45C98"/>
    <w:rsid w:val="00B46FFA"/>
    <w:rsid w:val="00B6493E"/>
    <w:rsid w:val="00B71C82"/>
    <w:rsid w:val="00B7354B"/>
    <w:rsid w:val="00B867E4"/>
    <w:rsid w:val="00B906F0"/>
    <w:rsid w:val="00BA32F8"/>
    <w:rsid w:val="00BA629C"/>
    <w:rsid w:val="00BB3BAF"/>
    <w:rsid w:val="00BB762A"/>
    <w:rsid w:val="00BC1529"/>
    <w:rsid w:val="00BC7CCC"/>
    <w:rsid w:val="00BD5085"/>
    <w:rsid w:val="00BE32F7"/>
    <w:rsid w:val="00BE738C"/>
    <w:rsid w:val="00BF4B6E"/>
    <w:rsid w:val="00BF69AD"/>
    <w:rsid w:val="00C014C6"/>
    <w:rsid w:val="00C01837"/>
    <w:rsid w:val="00C0217A"/>
    <w:rsid w:val="00C07966"/>
    <w:rsid w:val="00C173E1"/>
    <w:rsid w:val="00C216EE"/>
    <w:rsid w:val="00C30920"/>
    <w:rsid w:val="00C51139"/>
    <w:rsid w:val="00C60EE1"/>
    <w:rsid w:val="00C61867"/>
    <w:rsid w:val="00C624F2"/>
    <w:rsid w:val="00C62BA8"/>
    <w:rsid w:val="00C63D22"/>
    <w:rsid w:val="00C647B5"/>
    <w:rsid w:val="00C675DA"/>
    <w:rsid w:val="00C71107"/>
    <w:rsid w:val="00C76DF9"/>
    <w:rsid w:val="00C82238"/>
    <w:rsid w:val="00C8322C"/>
    <w:rsid w:val="00C86CA8"/>
    <w:rsid w:val="00C949C3"/>
    <w:rsid w:val="00C96FEF"/>
    <w:rsid w:val="00C9721A"/>
    <w:rsid w:val="00CA7D40"/>
    <w:rsid w:val="00CB5B2F"/>
    <w:rsid w:val="00CD0047"/>
    <w:rsid w:val="00CD3B2A"/>
    <w:rsid w:val="00CE00AE"/>
    <w:rsid w:val="00CE1B47"/>
    <w:rsid w:val="00CE35DE"/>
    <w:rsid w:val="00CE514B"/>
    <w:rsid w:val="00CF3FA9"/>
    <w:rsid w:val="00D005F5"/>
    <w:rsid w:val="00D044D8"/>
    <w:rsid w:val="00D123CD"/>
    <w:rsid w:val="00D15CF6"/>
    <w:rsid w:val="00D1677C"/>
    <w:rsid w:val="00D1737D"/>
    <w:rsid w:val="00D17F19"/>
    <w:rsid w:val="00D26708"/>
    <w:rsid w:val="00D33A32"/>
    <w:rsid w:val="00D35EC0"/>
    <w:rsid w:val="00D40B79"/>
    <w:rsid w:val="00D41BD3"/>
    <w:rsid w:val="00D53323"/>
    <w:rsid w:val="00D635BA"/>
    <w:rsid w:val="00D64CF9"/>
    <w:rsid w:val="00D84229"/>
    <w:rsid w:val="00D865CB"/>
    <w:rsid w:val="00D91FA1"/>
    <w:rsid w:val="00D92350"/>
    <w:rsid w:val="00D9462D"/>
    <w:rsid w:val="00D94AFC"/>
    <w:rsid w:val="00DA776E"/>
    <w:rsid w:val="00DC2DC8"/>
    <w:rsid w:val="00DC58EF"/>
    <w:rsid w:val="00DE0728"/>
    <w:rsid w:val="00DE1456"/>
    <w:rsid w:val="00DE221D"/>
    <w:rsid w:val="00DE5DEC"/>
    <w:rsid w:val="00DF5B48"/>
    <w:rsid w:val="00DF6BFF"/>
    <w:rsid w:val="00DF7C61"/>
    <w:rsid w:val="00E1321F"/>
    <w:rsid w:val="00E13469"/>
    <w:rsid w:val="00E20141"/>
    <w:rsid w:val="00E21F54"/>
    <w:rsid w:val="00E26432"/>
    <w:rsid w:val="00E46568"/>
    <w:rsid w:val="00E47DFA"/>
    <w:rsid w:val="00E502D5"/>
    <w:rsid w:val="00E51FC9"/>
    <w:rsid w:val="00E521DD"/>
    <w:rsid w:val="00E52AA0"/>
    <w:rsid w:val="00E6252B"/>
    <w:rsid w:val="00E65FB5"/>
    <w:rsid w:val="00E66C98"/>
    <w:rsid w:val="00E6767D"/>
    <w:rsid w:val="00E90387"/>
    <w:rsid w:val="00E93F23"/>
    <w:rsid w:val="00E97CA1"/>
    <w:rsid w:val="00EA4F44"/>
    <w:rsid w:val="00EB228E"/>
    <w:rsid w:val="00EC00D1"/>
    <w:rsid w:val="00ED280E"/>
    <w:rsid w:val="00ED5EAC"/>
    <w:rsid w:val="00EF048B"/>
    <w:rsid w:val="00EF04BD"/>
    <w:rsid w:val="00EF2993"/>
    <w:rsid w:val="00F05578"/>
    <w:rsid w:val="00F12DCF"/>
    <w:rsid w:val="00F13681"/>
    <w:rsid w:val="00F14E5A"/>
    <w:rsid w:val="00F17570"/>
    <w:rsid w:val="00F23684"/>
    <w:rsid w:val="00F31BD8"/>
    <w:rsid w:val="00F42D8E"/>
    <w:rsid w:val="00F51154"/>
    <w:rsid w:val="00F56845"/>
    <w:rsid w:val="00F63267"/>
    <w:rsid w:val="00F63945"/>
    <w:rsid w:val="00F82EA8"/>
    <w:rsid w:val="00F852DD"/>
    <w:rsid w:val="00F914EE"/>
    <w:rsid w:val="00F916B8"/>
    <w:rsid w:val="00F965B4"/>
    <w:rsid w:val="00F9682F"/>
    <w:rsid w:val="00FA3F00"/>
    <w:rsid w:val="00FA6CDF"/>
    <w:rsid w:val="00FA78D7"/>
    <w:rsid w:val="00FB066C"/>
    <w:rsid w:val="00FB2245"/>
    <w:rsid w:val="00FC2DA4"/>
    <w:rsid w:val="00FD271A"/>
    <w:rsid w:val="00FD70BC"/>
    <w:rsid w:val="00FE456F"/>
    <w:rsid w:val="00FE6592"/>
    <w:rsid w:val="00FE6637"/>
    <w:rsid w:val="00FF2A28"/>
    <w:rsid w:val="36AAC1F4"/>
    <w:rsid w:val="53EF48EB"/>
    <w:rsid w:val="641E00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99C0"/>
  <w15:chartTrackingRefBased/>
  <w15:docId w15:val="{424E1841-2156-4340-A048-D83D471D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C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7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7BC"/>
    <w:pPr>
      <w:spacing w:after="0" w:line="240" w:lineRule="auto"/>
    </w:pPr>
  </w:style>
  <w:style w:type="paragraph" w:styleId="NormalWeb">
    <w:name w:val="Normal (Web)"/>
    <w:basedOn w:val="Normal"/>
    <w:uiPriority w:val="99"/>
    <w:semiHidden/>
    <w:unhideWhenUsed/>
    <w:rsid w:val="00A157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A7D40"/>
    <w:pPr>
      <w:numPr>
        <w:numId w:val="3"/>
      </w:numPr>
      <w:spacing w:after="0" w:line="240" w:lineRule="auto"/>
      <w:ind w:left="360"/>
      <w:contextualSpacing/>
      <w:jc w:val="both"/>
    </w:pPr>
    <w:rPr>
      <w:rFonts w:ascii="Corbel" w:hAnsi="Corbel"/>
      <w:color w:val="000000"/>
      <w:sz w:val="21"/>
      <w:szCs w:val="21"/>
    </w:rPr>
  </w:style>
  <w:style w:type="character" w:customStyle="1" w:styleId="Heading2Char">
    <w:name w:val="Heading 2 Char"/>
    <w:basedOn w:val="DefaultParagraphFont"/>
    <w:link w:val="Heading2"/>
    <w:uiPriority w:val="9"/>
    <w:rsid w:val="004F2CE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F2CE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9721A"/>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D53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3323"/>
  </w:style>
  <w:style w:type="character" w:customStyle="1" w:styleId="spellingerror">
    <w:name w:val="spellingerror"/>
    <w:basedOn w:val="DefaultParagraphFont"/>
    <w:rsid w:val="00D53323"/>
  </w:style>
  <w:style w:type="character" w:customStyle="1" w:styleId="eop">
    <w:name w:val="eop"/>
    <w:basedOn w:val="DefaultParagraphFont"/>
    <w:rsid w:val="00D53323"/>
  </w:style>
  <w:style w:type="character" w:customStyle="1" w:styleId="advancedproofingissue">
    <w:name w:val="advancedproofingissue"/>
    <w:basedOn w:val="DefaultParagraphFont"/>
    <w:rsid w:val="00D53323"/>
  </w:style>
  <w:style w:type="table" w:styleId="TableGrid">
    <w:name w:val="Table Grid"/>
    <w:basedOn w:val="TableNormal"/>
    <w:uiPriority w:val="39"/>
    <w:rsid w:val="00F1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A9E"/>
  </w:style>
  <w:style w:type="paragraph" w:styleId="Footer">
    <w:name w:val="footer"/>
    <w:basedOn w:val="Normal"/>
    <w:link w:val="FooterChar"/>
    <w:uiPriority w:val="99"/>
    <w:unhideWhenUsed/>
    <w:rsid w:val="00AB2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A9E"/>
  </w:style>
  <w:style w:type="character" w:styleId="CommentReference">
    <w:name w:val="annotation reference"/>
    <w:basedOn w:val="DefaultParagraphFont"/>
    <w:uiPriority w:val="99"/>
    <w:semiHidden/>
    <w:unhideWhenUsed/>
    <w:rsid w:val="008E1B0D"/>
    <w:rPr>
      <w:sz w:val="16"/>
      <w:szCs w:val="16"/>
    </w:rPr>
  </w:style>
  <w:style w:type="paragraph" w:styleId="CommentText">
    <w:name w:val="annotation text"/>
    <w:basedOn w:val="Normal"/>
    <w:link w:val="CommentTextChar"/>
    <w:uiPriority w:val="99"/>
    <w:semiHidden/>
    <w:unhideWhenUsed/>
    <w:rsid w:val="008E1B0D"/>
    <w:pPr>
      <w:spacing w:line="240" w:lineRule="auto"/>
    </w:pPr>
    <w:rPr>
      <w:sz w:val="20"/>
      <w:szCs w:val="20"/>
    </w:rPr>
  </w:style>
  <w:style w:type="character" w:customStyle="1" w:styleId="CommentTextChar">
    <w:name w:val="Comment Text Char"/>
    <w:basedOn w:val="DefaultParagraphFont"/>
    <w:link w:val="CommentText"/>
    <w:uiPriority w:val="99"/>
    <w:semiHidden/>
    <w:rsid w:val="008E1B0D"/>
    <w:rPr>
      <w:sz w:val="20"/>
      <w:szCs w:val="20"/>
    </w:rPr>
  </w:style>
  <w:style w:type="paragraph" w:styleId="CommentSubject">
    <w:name w:val="annotation subject"/>
    <w:basedOn w:val="CommentText"/>
    <w:next w:val="CommentText"/>
    <w:link w:val="CommentSubjectChar"/>
    <w:uiPriority w:val="99"/>
    <w:semiHidden/>
    <w:unhideWhenUsed/>
    <w:rsid w:val="008E1B0D"/>
    <w:rPr>
      <w:b/>
      <w:bCs/>
    </w:rPr>
  </w:style>
  <w:style w:type="character" w:customStyle="1" w:styleId="CommentSubjectChar">
    <w:name w:val="Comment Subject Char"/>
    <w:basedOn w:val="CommentTextChar"/>
    <w:link w:val="CommentSubject"/>
    <w:uiPriority w:val="99"/>
    <w:semiHidden/>
    <w:rsid w:val="008E1B0D"/>
    <w:rPr>
      <w:b/>
      <w:bCs/>
      <w:sz w:val="20"/>
      <w:szCs w:val="20"/>
    </w:rPr>
  </w:style>
  <w:style w:type="paragraph" w:styleId="Revision">
    <w:name w:val="Revision"/>
    <w:hidden/>
    <w:uiPriority w:val="99"/>
    <w:semiHidden/>
    <w:rsid w:val="00F56845"/>
    <w:pPr>
      <w:spacing w:after="0" w:line="240" w:lineRule="auto"/>
    </w:pPr>
  </w:style>
  <w:style w:type="character" w:styleId="Hyperlink">
    <w:name w:val="Hyperlink"/>
    <w:basedOn w:val="DefaultParagraphFont"/>
    <w:uiPriority w:val="99"/>
    <w:unhideWhenUsed/>
    <w:rsid w:val="00C62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5076">
      <w:bodyDiv w:val="1"/>
      <w:marLeft w:val="0"/>
      <w:marRight w:val="0"/>
      <w:marTop w:val="0"/>
      <w:marBottom w:val="0"/>
      <w:divBdr>
        <w:top w:val="none" w:sz="0" w:space="0" w:color="auto"/>
        <w:left w:val="none" w:sz="0" w:space="0" w:color="auto"/>
        <w:bottom w:val="none" w:sz="0" w:space="0" w:color="auto"/>
        <w:right w:val="none" w:sz="0" w:space="0" w:color="auto"/>
      </w:divBdr>
    </w:div>
    <w:div w:id="524713414">
      <w:bodyDiv w:val="1"/>
      <w:marLeft w:val="0"/>
      <w:marRight w:val="0"/>
      <w:marTop w:val="0"/>
      <w:marBottom w:val="0"/>
      <w:divBdr>
        <w:top w:val="none" w:sz="0" w:space="0" w:color="auto"/>
        <w:left w:val="none" w:sz="0" w:space="0" w:color="auto"/>
        <w:bottom w:val="none" w:sz="0" w:space="0" w:color="auto"/>
        <w:right w:val="none" w:sz="0" w:space="0" w:color="auto"/>
      </w:divBdr>
    </w:div>
    <w:div w:id="527522466">
      <w:bodyDiv w:val="1"/>
      <w:marLeft w:val="0"/>
      <w:marRight w:val="0"/>
      <w:marTop w:val="0"/>
      <w:marBottom w:val="0"/>
      <w:divBdr>
        <w:top w:val="none" w:sz="0" w:space="0" w:color="auto"/>
        <w:left w:val="none" w:sz="0" w:space="0" w:color="auto"/>
        <w:bottom w:val="none" w:sz="0" w:space="0" w:color="auto"/>
        <w:right w:val="none" w:sz="0" w:space="0" w:color="auto"/>
      </w:divBdr>
    </w:div>
    <w:div w:id="723676413">
      <w:bodyDiv w:val="1"/>
      <w:marLeft w:val="0"/>
      <w:marRight w:val="0"/>
      <w:marTop w:val="0"/>
      <w:marBottom w:val="0"/>
      <w:divBdr>
        <w:top w:val="none" w:sz="0" w:space="0" w:color="auto"/>
        <w:left w:val="none" w:sz="0" w:space="0" w:color="auto"/>
        <w:bottom w:val="none" w:sz="0" w:space="0" w:color="auto"/>
        <w:right w:val="none" w:sz="0" w:space="0" w:color="auto"/>
      </w:divBdr>
    </w:div>
    <w:div w:id="831599662">
      <w:bodyDiv w:val="1"/>
      <w:marLeft w:val="0"/>
      <w:marRight w:val="0"/>
      <w:marTop w:val="0"/>
      <w:marBottom w:val="0"/>
      <w:divBdr>
        <w:top w:val="none" w:sz="0" w:space="0" w:color="auto"/>
        <w:left w:val="none" w:sz="0" w:space="0" w:color="auto"/>
        <w:bottom w:val="none" w:sz="0" w:space="0" w:color="auto"/>
        <w:right w:val="none" w:sz="0" w:space="0" w:color="auto"/>
      </w:divBdr>
    </w:div>
    <w:div w:id="859707044">
      <w:bodyDiv w:val="1"/>
      <w:marLeft w:val="0"/>
      <w:marRight w:val="0"/>
      <w:marTop w:val="0"/>
      <w:marBottom w:val="0"/>
      <w:divBdr>
        <w:top w:val="none" w:sz="0" w:space="0" w:color="auto"/>
        <w:left w:val="none" w:sz="0" w:space="0" w:color="auto"/>
        <w:bottom w:val="none" w:sz="0" w:space="0" w:color="auto"/>
        <w:right w:val="none" w:sz="0" w:space="0" w:color="auto"/>
      </w:divBdr>
    </w:div>
    <w:div w:id="994449902">
      <w:bodyDiv w:val="1"/>
      <w:marLeft w:val="0"/>
      <w:marRight w:val="0"/>
      <w:marTop w:val="0"/>
      <w:marBottom w:val="0"/>
      <w:divBdr>
        <w:top w:val="none" w:sz="0" w:space="0" w:color="auto"/>
        <w:left w:val="none" w:sz="0" w:space="0" w:color="auto"/>
        <w:bottom w:val="none" w:sz="0" w:space="0" w:color="auto"/>
        <w:right w:val="none" w:sz="0" w:space="0" w:color="auto"/>
      </w:divBdr>
    </w:div>
    <w:div w:id="1081759378">
      <w:bodyDiv w:val="1"/>
      <w:marLeft w:val="0"/>
      <w:marRight w:val="0"/>
      <w:marTop w:val="0"/>
      <w:marBottom w:val="0"/>
      <w:divBdr>
        <w:top w:val="none" w:sz="0" w:space="0" w:color="auto"/>
        <w:left w:val="none" w:sz="0" w:space="0" w:color="auto"/>
        <w:bottom w:val="none" w:sz="0" w:space="0" w:color="auto"/>
        <w:right w:val="none" w:sz="0" w:space="0" w:color="auto"/>
      </w:divBdr>
    </w:div>
    <w:div w:id="1272470108">
      <w:bodyDiv w:val="1"/>
      <w:marLeft w:val="0"/>
      <w:marRight w:val="0"/>
      <w:marTop w:val="0"/>
      <w:marBottom w:val="0"/>
      <w:divBdr>
        <w:top w:val="none" w:sz="0" w:space="0" w:color="auto"/>
        <w:left w:val="none" w:sz="0" w:space="0" w:color="auto"/>
        <w:bottom w:val="none" w:sz="0" w:space="0" w:color="auto"/>
        <w:right w:val="none" w:sz="0" w:space="0" w:color="auto"/>
      </w:divBdr>
    </w:div>
    <w:div w:id="1308391642">
      <w:bodyDiv w:val="1"/>
      <w:marLeft w:val="0"/>
      <w:marRight w:val="0"/>
      <w:marTop w:val="0"/>
      <w:marBottom w:val="0"/>
      <w:divBdr>
        <w:top w:val="none" w:sz="0" w:space="0" w:color="auto"/>
        <w:left w:val="none" w:sz="0" w:space="0" w:color="auto"/>
        <w:bottom w:val="none" w:sz="0" w:space="0" w:color="auto"/>
        <w:right w:val="none" w:sz="0" w:space="0" w:color="auto"/>
      </w:divBdr>
    </w:div>
    <w:div w:id="1395349343">
      <w:bodyDiv w:val="1"/>
      <w:marLeft w:val="0"/>
      <w:marRight w:val="0"/>
      <w:marTop w:val="0"/>
      <w:marBottom w:val="0"/>
      <w:divBdr>
        <w:top w:val="none" w:sz="0" w:space="0" w:color="auto"/>
        <w:left w:val="none" w:sz="0" w:space="0" w:color="auto"/>
        <w:bottom w:val="none" w:sz="0" w:space="0" w:color="auto"/>
        <w:right w:val="none" w:sz="0" w:space="0" w:color="auto"/>
      </w:divBdr>
    </w:div>
    <w:div w:id="1623538806">
      <w:bodyDiv w:val="1"/>
      <w:marLeft w:val="0"/>
      <w:marRight w:val="0"/>
      <w:marTop w:val="0"/>
      <w:marBottom w:val="0"/>
      <w:divBdr>
        <w:top w:val="none" w:sz="0" w:space="0" w:color="auto"/>
        <w:left w:val="none" w:sz="0" w:space="0" w:color="auto"/>
        <w:bottom w:val="none" w:sz="0" w:space="0" w:color="auto"/>
        <w:right w:val="none" w:sz="0" w:space="0" w:color="auto"/>
      </w:divBdr>
    </w:div>
    <w:div w:id="20292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Representation%20changes%20over%205%20year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Representation%20changes%20over%205%20year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Representation%20changes%20over%205%20year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mydata.rhul.ac.uk\home\Equalities\Gender%20pay%20gap\2023\Gender%20pay%20gap%20chart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mydata.rhul.ac.uk\home\Equalities\Gender%20pay%20gap\2023\Gender%20pay%20gap%20chart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mydata.rhul.ac.uk\home\Equalities\Gender%20pay%20gap\2023\Gender%20pay%20gap%20chart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mydata.rhul.ac.uk\home\Equalities\Gender%20pay%20gap\2023\Gender%20pay%20gap%20charts.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Data%20summaries%20and%20tables%20-%20WMR%202021-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Representation%20changes%20over%205%20yea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Data%20summaries%20and%20tables%20-%20WMR%202021-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Representation%20changes%20over%205%20yea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Representation%20changes%20over%205%20year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Data%20summaries%20and%20tables%20-%20WMR%202021-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Representation%20changes%20over%205%20year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mydata.rhul.ac.uk\home\Equalities\Workforce%20monitoring%20report\2022\Data%20summaries%20and%20tables%20-%20WMR%202021-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Sex!$B$3</c:f>
              <c:strCache>
                <c:ptCount val="1"/>
                <c:pt idx="0">
                  <c:v>Female</c:v>
                </c:pt>
              </c:strCache>
            </c:strRef>
          </c:tx>
          <c:spPr>
            <a:solidFill>
              <a:schemeClr val="accent1"/>
            </a:solidFill>
            <a:ln>
              <a:noFill/>
            </a:ln>
            <a:effectLst/>
          </c:spPr>
          <c:invertIfNegative val="0"/>
          <c:cat>
            <c:numRef>
              <c:f>Sex!$A$4:$A$8</c:f>
              <c:numCache>
                <c:formatCode>General</c:formatCode>
                <c:ptCount val="5"/>
                <c:pt idx="0">
                  <c:v>2018</c:v>
                </c:pt>
                <c:pt idx="1">
                  <c:v>2019</c:v>
                </c:pt>
                <c:pt idx="2">
                  <c:v>2020</c:v>
                </c:pt>
                <c:pt idx="3">
                  <c:v>2021</c:v>
                </c:pt>
                <c:pt idx="4">
                  <c:v>2022</c:v>
                </c:pt>
              </c:numCache>
            </c:numRef>
          </c:cat>
          <c:val>
            <c:numRef>
              <c:f>Sex!$B$4:$B$8</c:f>
              <c:numCache>
                <c:formatCode>0.0%</c:formatCode>
                <c:ptCount val="5"/>
                <c:pt idx="0">
                  <c:v>0.53200000000000003</c:v>
                </c:pt>
                <c:pt idx="1">
                  <c:v>0.52200000000000002</c:v>
                </c:pt>
                <c:pt idx="2">
                  <c:v>0.52700000000000002</c:v>
                </c:pt>
                <c:pt idx="3">
                  <c:v>0.52800000000000002</c:v>
                </c:pt>
                <c:pt idx="4">
                  <c:v>0.52500000000000002</c:v>
                </c:pt>
              </c:numCache>
            </c:numRef>
          </c:val>
          <c:extLst>
            <c:ext xmlns:c16="http://schemas.microsoft.com/office/drawing/2014/chart" uri="{C3380CC4-5D6E-409C-BE32-E72D297353CC}">
              <c16:uniqueId val="{00000000-B023-47B3-8518-F7F651E69A6E}"/>
            </c:ext>
          </c:extLst>
        </c:ser>
        <c:ser>
          <c:idx val="1"/>
          <c:order val="1"/>
          <c:tx>
            <c:strRef>
              <c:f>Sex!$C$3</c:f>
              <c:strCache>
                <c:ptCount val="1"/>
                <c:pt idx="0">
                  <c:v>Male</c:v>
                </c:pt>
              </c:strCache>
            </c:strRef>
          </c:tx>
          <c:spPr>
            <a:solidFill>
              <a:schemeClr val="accent2"/>
            </a:solidFill>
            <a:ln>
              <a:noFill/>
            </a:ln>
            <a:effectLst/>
          </c:spPr>
          <c:invertIfNegative val="0"/>
          <c:cat>
            <c:numRef>
              <c:f>Sex!$A$4:$A$8</c:f>
              <c:numCache>
                <c:formatCode>General</c:formatCode>
                <c:ptCount val="5"/>
                <c:pt idx="0">
                  <c:v>2018</c:v>
                </c:pt>
                <c:pt idx="1">
                  <c:v>2019</c:v>
                </c:pt>
                <c:pt idx="2">
                  <c:v>2020</c:v>
                </c:pt>
                <c:pt idx="3">
                  <c:v>2021</c:v>
                </c:pt>
                <c:pt idx="4">
                  <c:v>2022</c:v>
                </c:pt>
              </c:numCache>
            </c:numRef>
          </c:cat>
          <c:val>
            <c:numRef>
              <c:f>Sex!$C$4:$C$8</c:f>
              <c:numCache>
                <c:formatCode>0.0%</c:formatCode>
                <c:ptCount val="5"/>
                <c:pt idx="0">
                  <c:v>0.46800000000000003</c:v>
                </c:pt>
                <c:pt idx="1">
                  <c:v>0.47799999999999998</c:v>
                </c:pt>
                <c:pt idx="2">
                  <c:v>0.47299999999999998</c:v>
                </c:pt>
                <c:pt idx="3">
                  <c:v>0.47199999999999998</c:v>
                </c:pt>
                <c:pt idx="4">
                  <c:v>0.47499999999999998</c:v>
                </c:pt>
              </c:numCache>
            </c:numRef>
          </c:val>
          <c:extLst>
            <c:ext xmlns:c16="http://schemas.microsoft.com/office/drawing/2014/chart" uri="{C3380CC4-5D6E-409C-BE32-E72D297353CC}">
              <c16:uniqueId val="{00000001-B023-47B3-8518-F7F651E69A6E}"/>
            </c:ext>
          </c:extLst>
        </c:ser>
        <c:dLbls>
          <c:showLegendKey val="0"/>
          <c:showVal val="0"/>
          <c:showCatName val="0"/>
          <c:showSerName val="0"/>
          <c:showPercent val="0"/>
          <c:showBubbleSize val="0"/>
        </c:dLbls>
        <c:gapWidth val="150"/>
        <c:overlap val="100"/>
        <c:axId val="665555520"/>
        <c:axId val="665555848"/>
      </c:barChart>
      <c:catAx>
        <c:axId val="665555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orbel" panose="020B0503020204020204" pitchFamily="34" charset="0"/>
                <a:ea typeface="+mn-ea"/>
                <a:cs typeface="+mn-cs"/>
              </a:defRPr>
            </a:pPr>
            <a:endParaRPr lang="en-US"/>
          </a:p>
        </c:txPr>
        <c:crossAx val="665555848"/>
        <c:crosses val="autoZero"/>
        <c:auto val="1"/>
        <c:lblAlgn val="ctr"/>
        <c:lblOffset val="100"/>
        <c:noMultiLvlLbl val="0"/>
      </c:catAx>
      <c:valAx>
        <c:axId val="665555848"/>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665555520"/>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Corbel" panose="020B0503020204020204" pitchFamily="34" charset="0"/>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Corbel" panose="020B0503020204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Age!$B$4</c:f>
              <c:strCache>
                <c:ptCount val="1"/>
                <c:pt idx="0">
                  <c:v>&lt;30</c:v>
                </c:pt>
              </c:strCache>
            </c:strRef>
          </c:tx>
          <c:spPr>
            <a:solidFill>
              <a:schemeClr val="accent1"/>
            </a:solidFill>
            <a:ln>
              <a:noFill/>
            </a:ln>
            <a:effectLst/>
          </c:spPr>
          <c:invertIfNegative val="0"/>
          <c:cat>
            <c:numRef>
              <c:f>Age!$A$5:$A$9</c:f>
              <c:numCache>
                <c:formatCode>General</c:formatCode>
                <c:ptCount val="5"/>
                <c:pt idx="0">
                  <c:v>2018</c:v>
                </c:pt>
                <c:pt idx="1">
                  <c:v>2019</c:v>
                </c:pt>
                <c:pt idx="2">
                  <c:v>2020</c:v>
                </c:pt>
                <c:pt idx="3">
                  <c:v>2021</c:v>
                </c:pt>
                <c:pt idx="4">
                  <c:v>2022</c:v>
                </c:pt>
              </c:numCache>
            </c:numRef>
          </c:cat>
          <c:val>
            <c:numRef>
              <c:f>Age!$B$5:$B$9</c:f>
              <c:numCache>
                <c:formatCode>0.0%</c:formatCode>
                <c:ptCount val="5"/>
                <c:pt idx="0">
                  <c:v>0.19400000000000001</c:v>
                </c:pt>
                <c:pt idx="1">
                  <c:v>0.14199999999999999</c:v>
                </c:pt>
                <c:pt idx="2">
                  <c:v>0.124</c:v>
                </c:pt>
                <c:pt idx="3">
                  <c:v>0.11</c:v>
                </c:pt>
                <c:pt idx="4">
                  <c:v>0.114</c:v>
                </c:pt>
              </c:numCache>
            </c:numRef>
          </c:val>
          <c:extLst>
            <c:ext xmlns:c16="http://schemas.microsoft.com/office/drawing/2014/chart" uri="{C3380CC4-5D6E-409C-BE32-E72D297353CC}">
              <c16:uniqueId val="{00000000-5061-4299-B003-B28CF94B9CD8}"/>
            </c:ext>
          </c:extLst>
        </c:ser>
        <c:ser>
          <c:idx val="1"/>
          <c:order val="1"/>
          <c:tx>
            <c:strRef>
              <c:f>Age!$C$4</c:f>
              <c:strCache>
                <c:ptCount val="1"/>
                <c:pt idx="0">
                  <c:v>31-40</c:v>
                </c:pt>
              </c:strCache>
            </c:strRef>
          </c:tx>
          <c:spPr>
            <a:solidFill>
              <a:schemeClr val="accent2"/>
            </a:solidFill>
            <a:ln>
              <a:noFill/>
            </a:ln>
            <a:effectLst/>
          </c:spPr>
          <c:invertIfNegative val="0"/>
          <c:cat>
            <c:numRef>
              <c:f>Age!$A$5:$A$9</c:f>
              <c:numCache>
                <c:formatCode>General</c:formatCode>
                <c:ptCount val="5"/>
                <c:pt idx="0">
                  <c:v>2018</c:v>
                </c:pt>
                <c:pt idx="1">
                  <c:v>2019</c:v>
                </c:pt>
                <c:pt idx="2">
                  <c:v>2020</c:v>
                </c:pt>
                <c:pt idx="3">
                  <c:v>2021</c:v>
                </c:pt>
                <c:pt idx="4">
                  <c:v>2022</c:v>
                </c:pt>
              </c:numCache>
            </c:numRef>
          </c:cat>
          <c:val>
            <c:numRef>
              <c:f>Age!$C$5:$C$9</c:f>
              <c:numCache>
                <c:formatCode>0.0%</c:formatCode>
                <c:ptCount val="5"/>
                <c:pt idx="0">
                  <c:v>0.245</c:v>
                </c:pt>
                <c:pt idx="1">
                  <c:v>0.26100000000000001</c:v>
                </c:pt>
                <c:pt idx="2">
                  <c:v>0.26500000000000001</c:v>
                </c:pt>
                <c:pt idx="3">
                  <c:v>0.25900000000000001</c:v>
                </c:pt>
                <c:pt idx="4">
                  <c:v>0.254</c:v>
                </c:pt>
              </c:numCache>
            </c:numRef>
          </c:val>
          <c:extLst>
            <c:ext xmlns:c16="http://schemas.microsoft.com/office/drawing/2014/chart" uri="{C3380CC4-5D6E-409C-BE32-E72D297353CC}">
              <c16:uniqueId val="{00000001-5061-4299-B003-B28CF94B9CD8}"/>
            </c:ext>
          </c:extLst>
        </c:ser>
        <c:ser>
          <c:idx val="2"/>
          <c:order val="2"/>
          <c:tx>
            <c:strRef>
              <c:f>Age!$D$4</c:f>
              <c:strCache>
                <c:ptCount val="1"/>
                <c:pt idx="0">
                  <c:v>41-50</c:v>
                </c:pt>
              </c:strCache>
            </c:strRef>
          </c:tx>
          <c:spPr>
            <a:solidFill>
              <a:schemeClr val="accent3"/>
            </a:solidFill>
            <a:ln>
              <a:noFill/>
            </a:ln>
            <a:effectLst/>
          </c:spPr>
          <c:invertIfNegative val="0"/>
          <c:cat>
            <c:numRef>
              <c:f>Age!$A$5:$A$9</c:f>
              <c:numCache>
                <c:formatCode>General</c:formatCode>
                <c:ptCount val="5"/>
                <c:pt idx="0">
                  <c:v>2018</c:v>
                </c:pt>
                <c:pt idx="1">
                  <c:v>2019</c:v>
                </c:pt>
                <c:pt idx="2">
                  <c:v>2020</c:v>
                </c:pt>
                <c:pt idx="3">
                  <c:v>2021</c:v>
                </c:pt>
                <c:pt idx="4">
                  <c:v>2022</c:v>
                </c:pt>
              </c:numCache>
            </c:numRef>
          </c:cat>
          <c:val>
            <c:numRef>
              <c:f>Age!$D$5:$D$9</c:f>
              <c:numCache>
                <c:formatCode>0.0%</c:formatCode>
                <c:ptCount val="5"/>
                <c:pt idx="0">
                  <c:v>0.24099999999999999</c:v>
                </c:pt>
                <c:pt idx="1">
                  <c:v>0.25800000000000001</c:v>
                </c:pt>
                <c:pt idx="2">
                  <c:v>0.26200000000000001</c:v>
                </c:pt>
                <c:pt idx="3">
                  <c:v>0.27900000000000003</c:v>
                </c:pt>
                <c:pt idx="4" formatCode="0%">
                  <c:v>0.28000000000000003</c:v>
                </c:pt>
              </c:numCache>
            </c:numRef>
          </c:val>
          <c:extLst>
            <c:ext xmlns:c16="http://schemas.microsoft.com/office/drawing/2014/chart" uri="{C3380CC4-5D6E-409C-BE32-E72D297353CC}">
              <c16:uniqueId val="{00000002-5061-4299-B003-B28CF94B9CD8}"/>
            </c:ext>
          </c:extLst>
        </c:ser>
        <c:ser>
          <c:idx val="3"/>
          <c:order val="3"/>
          <c:tx>
            <c:strRef>
              <c:f>Age!$E$4</c:f>
              <c:strCache>
                <c:ptCount val="1"/>
                <c:pt idx="0">
                  <c:v>51-60</c:v>
                </c:pt>
              </c:strCache>
            </c:strRef>
          </c:tx>
          <c:spPr>
            <a:solidFill>
              <a:schemeClr val="accent4"/>
            </a:solidFill>
            <a:ln>
              <a:noFill/>
            </a:ln>
            <a:effectLst/>
          </c:spPr>
          <c:invertIfNegative val="0"/>
          <c:cat>
            <c:numRef>
              <c:f>Age!$A$5:$A$9</c:f>
              <c:numCache>
                <c:formatCode>General</c:formatCode>
                <c:ptCount val="5"/>
                <c:pt idx="0">
                  <c:v>2018</c:v>
                </c:pt>
                <c:pt idx="1">
                  <c:v>2019</c:v>
                </c:pt>
                <c:pt idx="2">
                  <c:v>2020</c:v>
                </c:pt>
                <c:pt idx="3">
                  <c:v>2021</c:v>
                </c:pt>
                <c:pt idx="4">
                  <c:v>2022</c:v>
                </c:pt>
              </c:numCache>
            </c:numRef>
          </c:cat>
          <c:val>
            <c:numRef>
              <c:f>Age!$E$5:$E$9</c:f>
              <c:numCache>
                <c:formatCode>0.0%</c:formatCode>
                <c:ptCount val="5"/>
                <c:pt idx="0">
                  <c:v>0.24399999999999999</c:v>
                </c:pt>
                <c:pt idx="1">
                  <c:v>0.24099999999999999</c:v>
                </c:pt>
                <c:pt idx="2">
                  <c:v>0.23799999999999999</c:v>
                </c:pt>
                <c:pt idx="3">
                  <c:v>0.254</c:v>
                </c:pt>
                <c:pt idx="4">
                  <c:v>0.25</c:v>
                </c:pt>
              </c:numCache>
            </c:numRef>
          </c:val>
          <c:extLst>
            <c:ext xmlns:c16="http://schemas.microsoft.com/office/drawing/2014/chart" uri="{C3380CC4-5D6E-409C-BE32-E72D297353CC}">
              <c16:uniqueId val="{00000003-5061-4299-B003-B28CF94B9CD8}"/>
            </c:ext>
          </c:extLst>
        </c:ser>
        <c:ser>
          <c:idx val="4"/>
          <c:order val="4"/>
          <c:tx>
            <c:strRef>
              <c:f>Age!$F$4</c:f>
              <c:strCache>
                <c:ptCount val="1"/>
                <c:pt idx="0">
                  <c:v>61+</c:v>
                </c:pt>
              </c:strCache>
            </c:strRef>
          </c:tx>
          <c:spPr>
            <a:solidFill>
              <a:schemeClr val="accent5"/>
            </a:solidFill>
            <a:ln>
              <a:noFill/>
            </a:ln>
            <a:effectLst/>
          </c:spPr>
          <c:invertIfNegative val="0"/>
          <c:cat>
            <c:numRef>
              <c:f>Age!$A$5:$A$9</c:f>
              <c:numCache>
                <c:formatCode>General</c:formatCode>
                <c:ptCount val="5"/>
                <c:pt idx="0">
                  <c:v>2018</c:v>
                </c:pt>
                <c:pt idx="1">
                  <c:v>2019</c:v>
                </c:pt>
                <c:pt idx="2">
                  <c:v>2020</c:v>
                </c:pt>
                <c:pt idx="3">
                  <c:v>2021</c:v>
                </c:pt>
                <c:pt idx="4">
                  <c:v>2022</c:v>
                </c:pt>
              </c:numCache>
            </c:numRef>
          </c:cat>
          <c:val>
            <c:numRef>
              <c:f>Age!$F$5:$F$9</c:f>
              <c:numCache>
                <c:formatCode>0.0%</c:formatCode>
                <c:ptCount val="5"/>
                <c:pt idx="0">
                  <c:v>7.8E-2</c:v>
                </c:pt>
                <c:pt idx="1">
                  <c:v>9.8000000000000004E-2</c:v>
                </c:pt>
                <c:pt idx="2">
                  <c:v>0.11</c:v>
                </c:pt>
                <c:pt idx="3">
                  <c:v>9.8000000000000004E-2</c:v>
                </c:pt>
                <c:pt idx="4">
                  <c:v>0.10299999999999999</c:v>
                </c:pt>
              </c:numCache>
            </c:numRef>
          </c:val>
          <c:extLst>
            <c:ext xmlns:c16="http://schemas.microsoft.com/office/drawing/2014/chart" uri="{C3380CC4-5D6E-409C-BE32-E72D297353CC}">
              <c16:uniqueId val="{00000004-5061-4299-B003-B28CF94B9CD8}"/>
            </c:ext>
          </c:extLst>
        </c:ser>
        <c:dLbls>
          <c:showLegendKey val="0"/>
          <c:showVal val="0"/>
          <c:showCatName val="0"/>
          <c:showSerName val="0"/>
          <c:showPercent val="0"/>
          <c:showBubbleSize val="0"/>
        </c:dLbls>
        <c:gapWidth val="150"/>
        <c:overlap val="100"/>
        <c:axId val="750274448"/>
        <c:axId val="750276416"/>
      </c:barChart>
      <c:catAx>
        <c:axId val="75027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50276416"/>
        <c:crosses val="autoZero"/>
        <c:auto val="1"/>
        <c:lblAlgn val="ctr"/>
        <c:lblOffset val="100"/>
        <c:noMultiLvlLbl val="0"/>
      </c:catAx>
      <c:valAx>
        <c:axId val="7502764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50274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A7-4F26-8F4A-4167E3001D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8A7-4F26-8F4A-4167E3001D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A7-4F26-8F4A-4167E3001D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A7-4F26-8F4A-4167E3001D6A}"/>
              </c:ext>
            </c:extLst>
          </c:dPt>
          <c:dLbls>
            <c:dLbl>
              <c:idx val="0"/>
              <c:layout>
                <c:manualLayout>
                  <c:x val="-1.7679558011049725E-2"/>
                  <c:y val="-0.11487303506650544"/>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715708878931571"/>
                      <c:h val="0.25029277628083674"/>
                    </c:manualLayout>
                  </c15:layout>
                </c:ext>
                <c:ext xmlns:c16="http://schemas.microsoft.com/office/drawing/2014/chart" uri="{C3380CC4-5D6E-409C-BE32-E72D297353CC}">
                  <c16:uniqueId val="{00000001-48A7-4F26-8F4A-4167E3001D6A}"/>
                </c:ext>
              </c:extLst>
            </c:dLbl>
            <c:dLbl>
              <c:idx val="1"/>
              <c:layout>
                <c:manualLayout>
                  <c:x val="-2.6519337016574586E-2"/>
                  <c:y val="-6.65054413542926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A7-4F26-8F4A-4167E3001D6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'Religion or Belief'!$A$12:$A$15</c:f>
              <c:strCache>
                <c:ptCount val="4"/>
                <c:pt idx="0">
                  <c:v>No religion or belief</c:v>
                </c:pt>
                <c:pt idx="1">
                  <c:v>Religion or belief</c:v>
                </c:pt>
                <c:pt idx="2">
                  <c:v>Prefer not to say</c:v>
                </c:pt>
                <c:pt idx="3">
                  <c:v>Unknown</c:v>
                </c:pt>
              </c:strCache>
            </c:strRef>
          </c:cat>
          <c:val>
            <c:numRef>
              <c:f>'Religion or Belief'!$B$12:$B$15</c:f>
              <c:numCache>
                <c:formatCode>0.00%</c:formatCode>
                <c:ptCount val="4"/>
                <c:pt idx="0">
                  <c:v>0.36799999999999999</c:v>
                </c:pt>
                <c:pt idx="1">
                  <c:v>0.35899999999999999</c:v>
                </c:pt>
                <c:pt idx="2">
                  <c:v>8.8999999999999996E-2</c:v>
                </c:pt>
                <c:pt idx="3">
                  <c:v>0.184</c:v>
                </c:pt>
              </c:numCache>
            </c:numRef>
          </c:val>
          <c:extLst>
            <c:ext xmlns:c16="http://schemas.microsoft.com/office/drawing/2014/chart" uri="{C3380CC4-5D6E-409C-BE32-E72D297353CC}">
              <c16:uniqueId val="{00000008-48A7-4F26-8F4A-4167E3001D6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gender!$B$53</c:f>
              <c:strCache>
                <c:ptCount val="1"/>
                <c:pt idx="0">
                  <c:v>Female</c:v>
                </c:pt>
              </c:strCache>
            </c:strRef>
          </c:tx>
          <c:spPr>
            <a:solidFill>
              <a:schemeClr val="accent1"/>
            </a:solidFill>
            <a:ln>
              <a:noFill/>
            </a:ln>
            <a:effectLst/>
          </c:spPr>
          <c:invertIfNegative val="0"/>
          <c:cat>
            <c:strRef>
              <c:f>gender!$A$54:$A$57</c:f>
              <c:strCache>
                <c:ptCount val="4"/>
                <c:pt idx="0">
                  <c:v>Lower Quartile</c:v>
                </c:pt>
                <c:pt idx="1">
                  <c:v>Lower Middle</c:v>
                </c:pt>
                <c:pt idx="2">
                  <c:v>Upper Middle</c:v>
                </c:pt>
                <c:pt idx="3">
                  <c:v>Upper Quartile</c:v>
                </c:pt>
              </c:strCache>
            </c:strRef>
          </c:cat>
          <c:val>
            <c:numRef>
              <c:f>gender!$B$54:$B$57</c:f>
              <c:numCache>
                <c:formatCode>0.0%</c:formatCode>
                <c:ptCount val="4"/>
                <c:pt idx="0">
                  <c:v>0.67600000000000005</c:v>
                </c:pt>
                <c:pt idx="1">
                  <c:v>0.59299999999999997</c:v>
                </c:pt>
                <c:pt idx="2">
                  <c:v>0.56899999999999995</c:v>
                </c:pt>
                <c:pt idx="3">
                  <c:v>0.41099999999999998</c:v>
                </c:pt>
              </c:numCache>
            </c:numRef>
          </c:val>
          <c:extLst>
            <c:ext xmlns:c16="http://schemas.microsoft.com/office/drawing/2014/chart" uri="{C3380CC4-5D6E-409C-BE32-E72D297353CC}">
              <c16:uniqueId val="{00000000-640B-435C-A0CF-693ECE0A534A}"/>
            </c:ext>
          </c:extLst>
        </c:ser>
        <c:ser>
          <c:idx val="1"/>
          <c:order val="1"/>
          <c:tx>
            <c:strRef>
              <c:f>gender!$C$53</c:f>
              <c:strCache>
                <c:ptCount val="1"/>
                <c:pt idx="0">
                  <c:v>Male</c:v>
                </c:pt>
              </c:strCache>
            </c:strRef>
          </c:tx>
          <c:spPr>
            <a:solidFill>
              <a:schemeClr val="accent2"/>
            </a:solidFill>
            <a:ln>
              <a:noFill/>
            </a:ln>
            <a:effectLst/>
          </c:spPr>
          <c:invertIfNegative val="0"/>
          <c:cat>
            <c:strRef>
              <c:f>gender!$A$54:$A$57</c:f>
              <c:strCache>
                <c:ptCount val="4"/>
                <c:pt idx="0">
                  <c:v>Lower Quartile</c:v>
                </c:pt>
                <c:pt idx="1">
                  <c:v>Lower Middle</c:v>
                </c:pt>
                <c:pt idx="2">
                  <c:v>Upper Middle</c:v>
                </c:pt>
                <c:pt idx="3">
                  <c:v>Upper Quartile</c:v>
                </c:pt>
              </c:strCache>
            </c:strRef>
          </c:cat>
          <c:val>
            <c:numRef>
              <c:f>gender!$C$54:$C$57</c:f>
              <c:numCache>
                <c:formatCode>0.0%</c:formatCode>
                <c:ptCount val="4"/>
                <c:pt idx="0">
                  <c:v>0.32400000000000001</c:v>
                </c:pt>
                <c:pt idx="1">
                  <c:v>0.40699999999999997</c:v>
                </c:pt>
                <c:pt idx="2">
                  <c:v>0.43099999999999999</c:v>
                </c:pt>
                <c:pt idx="3">
                  <c:v>0.58899999999999997</c:v>
                </c:pt>
              </c:numCache>
            </c:numRef>
          </c:val>
          <c:extLst>
            <c:ext xmlns:c16="http://schemas.microsoft.com/office/drawing/2014/chart" uri="{C3380CC4-5D6E-409C-BE32-E72D297353CC}">
              <c16:uniqueId val="{00000001-640B-435C-A0CF-693ECE0A534A}"/>
            </c:ext>
          </c:extLst>
        </c:ser>
        <c:dLbls>
          <c:showLegendKey val="0"/>
          <c:showVal val="0"/>
          <c:showCatName val="0"/>
          <c:showSerName val="0"/>
          <c:showPercent val="0"/>
          <c:showBubbleSize val="0"/>
        </c:dLbls>
        <c:gapWidth val="150"/>
        <c:overlap val="100"/>
        <c:axId val="876971720"/>
        <c:axId val="876974344"/>
      </c:barChart>
      <c:catAx>
        <c:axId val="876971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orbel" panose="020B0503020204020204" pitchFamily="34" charset="0"/>
                <a:ea typeface="+mn-ea"/>
                <a:cs typeface="+mn-cs"/>
              </a:defRPr>
            </a:pPr>
            <a:endParaRPr lang="en-US"/>
          </a:p>
        </c:txPr>
        <c:crossAx val="876974344"/>
        <c:crosses val="autoZero"/>
        <c:auto val="1"/>
        <c:lblAlgn val="ctr"/>
        <c:lblOffset val="100"/>
        <c:noMultiLvlLbl val="0"/>
      </c:catAx>
      <c:valAx>
        <c:axId val="87697434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971720"/>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solidFill>
                <a:latin typeface="Corbel" panose="020B0503020204020204" pitchFamily="34" charset="0"/>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gender!$B$31</c:f>
              <c:strCache>
                <c:ptCount val="1"/>
                <c:pt idx="0">
                  <c:v>2018</c:v>
                </c:pt>
              </c:strCache>
            </c:strRef>
          </c:tx>
          <c:spPr>
            <a:solidFill>
              <a:schemeClr val="accent1"/>
            </a:solidFill>
            <a:ln>
              <a:noFill/>
            </a:ln>
            <a:effectLst/>
          </c:spPr>
          <c:invertIfNegative val="0"/>
          <c:cat>
            <c:strRef>
              <c:f>gender!$A$32:$A$35</c:f>
              <c:strCache>
                <c:ptCount val="4"/>
                <c:pt idx="0">
                  <c:v>Lower Quartile</c:v>
                </c:pt>
                <c:pt idx="1">
                  <c:v>Lower Middle</c:v>
                </c:pt>
                <c:pt idx="2">
                  <c:v>Upper Middle</c:v>
                </c:pt>
                <c:pt idx="3">
                  <c:v>Upper Quartile</c:v>
                </c:pt>
              </c:strCache>
            </c:strRef>
          </c:cat>
          <c:val>
            <c:numRef>
              <c:f>gender!$B$32:$B$35</c:f>
              <c:numCache>
                <c:formatCode>0.0%</c:formatCode>
                <c:ptCount val="4"/>
                <c:pt idx="0">
                  <c:v>0.68700000000000006</c:v>
                </c:pt>
                <c:pt idx="1">
                  <c:v>0.65300000000000002</c:v>
                </c:pt>
                <c:pt idx="2">
                  <c:v>0.55600000000000005</c:v>
                </c:pt>
                <c:pt idx="3">
                  <c:v>0.38700000000000001</c:v>
                </c:pt>
              </c:numCache>
            </c:numRef>
          </c:val>
          <c:extLst>
            <c:ext xmlns:c16="http://schemas.microsoft.com/office/drawing/2014/chart" uri="{C3380CC4-5D6E-409C-BE32-E72D297353CC}">
              <c16:uniqueId val="{00000000-F003-4D1E-B98D-B98E7BAF9C62}"/>
            </c:ext>
          </c:extLst>
        </c:ser>
        <c:ser>
          <c:idx val="1"/>
          <c:order val="1"/>
          <c:tx>
            <c:strRef>
              <c:f>gender!$C$31</c:f>
              <c:strCache>
                <c:ptCount val="1"/>
                <c:pt idx="0">
                  <c:v>2019</c:v>
                </c:pt>
              </c:strCache>
            </c:strRef>
          </c:tx>
          <c:spPr>
            <a:solidFill>
              <a:schemeClr val="accent2"/>
            </a:solidFill>
            <a:ln>
              <a:noFill/>
            </a:ln>
            <a:effectLst/>
          </c:spPr>
          <c:invertIfNegative val="0"/>
          <c:cat>
            <c:strRef>
              <c:f>gender!$A$32:$A$35</c:f>
              <c:strCache>
                <c:ptCount val="4"/>
                <c:pt idx="0">
                  <c:v>Lower Quartile</c:v>
                </c:pt>
                <c:pt idx="1">
                  <c:v>Lower Middle</c:v>
                </c:pt>
                <c:pt idx="2">
                  <c:v>Upper Middle</c:v>
                </c:pt>
                <c:pt idx="3">
                  <c:v>Upper Quartile</c:v>
                </c:pt>
              </c:strCache>
            </c:strRef>
          </c:cat>
          <c:val>
            <c:numRef>
              <c:f>gender!$C$32:$C$35</c:f>
              <c:numCache>
                <c:formatCode>0.0%</c:formatCode>
                <c:ptCount val="4"/>
                <c:pt idx="0">
                  <c:v>0.66700000000000004</c:v>
                </c:pt>
                <c:pt idx="1">
                  <c:v>0.60799999999999998</c:v>
                </c:pt>
                <c:pt idx="2">
                  <c:v>0.54</c:v>
                </c:pt>
                <c:pt idx="3">
                  <c:v>0.374</c:v>
                </c:pt>
              </c:numCache>
            </c:numRef>
          </c:val>
          <c:extLst>
            <c:ext xmlns:c16="http://schemas.microsoft.com/office/drawing/2014/chart" uri="{C3380CC4-5D6E-409C-BE32-E72D297353CC}">
              <c16:uniqueId val="{00000001-F003-4D1E-B98D-B98E7BAF9C62}"/>
            </c:ext>
          </c:extLst>
        </c:ser>
        <c:ser>
          <c:idx val="2"/>
          <c:order val="2"/>
          <c:tx>
            <c:strRef>
              <c:f>gender!$D$31</c:f>
              <c:strCache>
                <c:ptCount val="1"/>
                <c:pt idx="0">
                  <c:v>2020</c:v>
                </c:pt>
              </c:strCache>
            </c:strRef>
          </c:tx>
          <c:spPr>
            <a:solidFill>
              <a:schemeClr val="accent3"/>
            </a:solidFill>
            <a:ln>
              <a:noFill/>
            </a:ln>
            <a:effectLst/>
          </c:spPr>
          <c:invertIfNegative val="0"/>
          <c:cat>
            <c:strRef>
              <c:f>gender!$A$32:$A$35</c:f>
              <c:strCache>
                <c:ptCount val="4"/>
                <c:pt idx="0">
                  <c:v>Lower Quartile</c:v>
                </c:pt>
                <c:pt idx="1">
                  <c:v>Lower Middle</c:v>
                </c:pt>
                <c:pt idx="2">
                  <c:v>Upper Middle</c:v>
                </c:pt>
                <c:pt idx="3">
                  <c:v>Upper Quartile</c:v>
                </c:pt>
              </c:strCache>
            </c:strRef>
          </c:cat>
          <c:val>
            <c:numRef>
              <c:f>gender!$D$32:$D$35</c:f>
              <c:numCache>
                <c:formatCode>0.0%</c:formatCode>
                <c:ptCount val="4"/>
                <c:pt idx="0">
                  <c:v>0.64</c:v>
                </c:pt>
                <c:pt idx="1">
                  <c:v>0.58099999999999996</c:v>
                </c:pt>
                <c:pt idx="2">
                  <c:v>0.53500000000000003</c:v>
                </c:pt>
                <c:pt idx="3">
                  <c:v>0.39800000000000002</c:v>
                </c:pt>
              </c:numCache>
            </c:numRef>
          </c:val>
          <c:extLst>
            <c:ext xmlns:c16="http://schemas.microsoft.com/office/drawing/2014/chart" uri="{C3380CC4-5D6E-409C-BE32-E72D297353CC}">
              <c16:uniqueId val="{00000002-F003-4D1E-B98D-B98E7BAF9C62}"/>
            </c:ext>
          </c:extLst>
        </c:ser>
        <c:ser>
          <c:idx val="3"/>
          <c:order val="3"/>
          <c:tx>
            <c:strRef>
              <c:f>gender!$E$31</c:f>
              <c:strCache>
                <c:ptCount val="1"/>
                <c:pt idx="0">
                  <c:v>2021</c:v>
                </c:pt>
              </c:strCache>
            </c:strRef>
          </c:tx>
          <c:spPr>
            <a:solidFill>
              <a:schemeClr val="accent4"/>
            </a:solidFill>
            <a:ln>
              <a:noFill/>
            </a:ln>
            <a:effectLst/>
          </c:spPr>
          <c:invertIfNegative val="0"/>
          <c:cat>
            <c:strRef>
              <c:f>gender!$A$32:$A$35</c:f>
              <c:strCache>
                <c:ptCount val="4"/>
                <c:pt idx="0">
                  <c:v>Lower Quartile</c:v>
                </c:pt>
                <c:pt idx="1">
                  <c:v>Lower Middle</c:v>
                </c:pt>
                <c:pt idx="2">
                  <c:v>Upper Middle</c:v>
                </c:pt>
                <c:pt idx="3">
                  <c:v>Upper Quartile</c:v>
                </c:pt>
              </c:strCache>
            </c:strRef>
          </c:cat>
          <c:val>
            <c:numRef>
              <c:f>gender!$E$32:$E$35</c:f>
              <c:numCache>
                <c:formatCode>0.0%</c:formatCode>
                <c:ptCount val="4"/>
                <c:pt idx="0">
                  <c:v>0.67900000000000005</c:v>
                </c:pt>
                <c:pt idx="1">
                  <c:v>0.60599999999999998</c:v>
                </c:pt>
                <c:pt idx="2">
                  <c:v>0.52900000000000003</c:v>
                </c:pt>
                <c:pt idx="3">
                  <c:v>0.4</c:v>
                </c:pt>
              </c:numCache>
            </c:numRef>
          </c:val>
          <c:extLst>
            <c:ext xmlns:c16="http://schemas.microsoft.com/office/drawing/2014/chart" uri="{C3380CC4-5D6E-409C-BE32-E72D297353CC}">
              <c16:uniqueId val="{00000003-F003-4D1E-B98D-B98E7BAF9C62}"/>
            </c:ext>
          </c:extLst>
        </c:ser>
        <c:ser>
          <c:idx val="4"/>
          <c:order val="4"/>
          <c:tx>
            <c:strRef>
              <c:f>gender!$F$31</c:f>
              <c:strCache>
                <c:ptCount val="1"/>
                <c:pt idx="0">
                  <c:v>2022</c:v>
                </c:pt>
              </c:strCache>
            </c:strRef>
          </c:tx>
          <c:spPr>
            <a:solidFill>
              <a:schemeClr val="accent5"/>
            </a:solidFill>
            <a:ln>
              <a:noFill/>
            </a:ln>
            <a:effectLst/>
          </c:spPr>
          <c:invertIfNegative val="0"/>
          <c:cat>
            <c:strRef>
              <c:f>gender!$A$32:$A$35</c:f>
              <c:strCache>
                <c:ptCount val="4"/>
                <c:pt idx="0">
                  <c:v>Lower Quartile</c:v>
                </c:pt>
                <c:pt idx="1">
                  <c:v>Lower Middle</c:v>
                </c:pt>
                <c:pt idx="2">
                  <c:v>Upper Middle</c:v>
                </c:pt>
                <c:pt idx="3">
                  <c:v>Upper Quartile</c:v>
                </c:pt>
              </c:strCache>
            </c:strRef>
          </c:cat>
          <c:val>
            <c:numRef>
              <c:f>gender!$F$32:$F$35</c:f>
              <c:numCache>
                <c:formatCode>0.0%</c:formatCode>
                <c:ptCount val="4"/>
                <c:pt idx="0">
                  <c:v>0.67600000000000005</c:v>
                </c:pt>
                <c:pt idx="1">
                  <c:v>0.59299999999999997</c:v>
                </c:pt>
                <c:pt idx="2">
                  <c:v>0.56899999999999995</c:v>
                </c:pt>
                <c:pt idx="3">
                  <c:v>0.41099999999999998</c:v>
                </c:pt>
              </c:numCache>
            </c:numRef>
          </c:val>
          <c:extLst>
            <c:ext xmlns:c16="http://schemas.microsoft.com/office/drawing/2014/chart" uri="{C3380CC4-5D6E-409C-BE32-E72D297353CC}">
              <c16:uniqueId val="{00000004-F003-4D1E-B98D-B98E7BAF9C62}"/>
            </c:ext>
          </c:extLst>
        </c:ser>
        <c:dLbls>
          <c:showLegendKey val="0"/>
          <c:showVal val="0"/>
          <c:showCatName val="0"/>
          <c:showSerName val="0"/>
          <c:showPercent val="0"/>
          <c:showBubbleSize val="0"/>
        </c:dLbls>
        <c:gapWidth val="219"/>
        <c:overlap val="-27"/>
        <c:axId val="762919816"/>
        <c:axId val="762923096"/>
      </c:barChart>
      <c:catAx>
        <c:axId val="76291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Corbel" panose="020B0503020204020204" pitchFamily="34" charset="0"/>
                <a:ea typeface="+mn-ea"/>
                <a:cs typeface="+mn-cs"/>
              </a:defRPr>
            </a:pPr>
            <a:endParaRPr lang="en-US"/>
          </a:p>
        </c:txPr>
        <c:crossAx val="762923096"/>
        <c:crosses val="autoZero"/>
        <c:auto val="1"/>
        <c:lblAlgn val="ctr"/>
        <c:lblOffset val="100"/>
        <c:noMultiLvlLbl val="0"/>
      </c:catAx>
      <c:valAx>
        <c:axId val="762923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orbel" panose="020B0503020204020204" pitchFamily="34" charset="0"/>
                <a:ea typeface="+mn-ea"/>
                <a:cs typeface="+mn-cs"/>
              </a:defRPr>
            </a:pPr>
            <a:endParaRPr lang="en-US"/>
          </a:p>
        </c:txPr>
        <c:crossAx val="762919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solidFill>
                <a:latin typeface="Corbel" panose="020B050302020402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ethnicity!$C$69</c:f>
              <c:strCache>
                <c:ptCount val="1"/>
                <c:pt idx="0">
                  <c:v>Black &amp; global majority</c:v>
                </c:pt>
              </c:strCache>
            </c:strRef>
          </c:tx>
          <c:spPr>
            <a:solidFill>
              <a:schemeClr val="accent1"/>
            </a:solidFill>
            <a:ln>
              <a:noFill/>
            </a:ln>
            <a:effectLst/>
          </c:spPr>
          <c:invertIfNegative val="0"/>
          <c:cat>
            <c:multiLvlStrRef>
              <c:f>ethnicity!$A$70:$B$77</c:f>
              <c:multiLvlStrCache>
                <c:ptCount val="8"/>
                <c:lvl>
                  <c:pt idx="0">
                    <c:v>2021</c:v>
                  </c:pt>
                  <c:pt idx="1">
                    <c:v>2022</c:v>
                  </c:pt>
                  <c:pt idx="2">
                    <c:v>2021</c:v>
                  </c:pt>
                  <c:pt idx="3">
                    <c:v>2022</c:v>
                  </c:pt>
                  <c:pt idx="4">
                    <c:v>2021</c:v>
                  </c:pt>
                  <c:pt idx="5">
                    <c:v>2022</c:v>
                  </c:pt>
                  <c:pt idx="6">
                    <c:v>2021</c:v>
                  </c:pt>
                  <c:pt idx="7">
                    <c:v>2022</c:v>
                  </c:pt>
                </c:lvl>
                <c:lvl>
                  <c:pt idx="0">
                    <c:v>Lower Quartile</c:v>
                  </c:pt>
                  <c:pt idx="2">
                    <c:v>Lower Middle</c:v>
                  </c:pt>
                  <c:pt idx="4">
                    <c:v>Upper Middle</c:v>
                  </c:pt>
                  <c:pt idx="6">
                    <c:v>Upper Quartile</c:v>
                  </c:pt>
                </c:lvl>
              </c:multiLvlStrCache>
            </c:multiLvlStrRef>
          </c:cat>
          <c:val>
            <c:numRef>
              <c:f>ethnicity!$C$70:$C$77</c:f>
              <c:numCache>
                <c:formatCode>0.0%</c:formatCode>
                <c:ptCount val="8"/>
                <c:pt idx="0">
                  <c:v>0.27400000000000002</c:v>
                </c:pt>
                <c:pt idx="1">
                  <c:v>0.32200000000000001</c:v>
                </c:pt>
                <c:pt idx="2">
                  <c:v>0.189</c:v>
                </c:pt>
                <c:pt idx="3">
                  <c:v>0.2</c:v>
                </c:pt>
                <c:pt idx="4">
                  <c:v>0.192</c:v>
                </c:pt>
                <c:pt idx="5">
                  <c:v>0.222</c:v>
                </c:pt>
                <c:pt idx="6">
                  <c:v>0.14899999999999999</c:v>
                </c:pt>
                <c:pt idx="7">
                  <c:v>0.191</c:v>
                </c:pt>
              </c:numCache>
            </c:numRef>
          </c:val>
          <c:extLst>
            <c:ext xmlns:c16="http://schemas.microsoft.com/office/drawing/2014/chart" uri="{C3380CC4-5D6E-409C-BE32-E72D297353CC}">
              <c16:uniqueId val="{00000000-BE06-4561-AABD-A3016452A24D}"/>
            </c:ext>
          </c:extLst>
        </c:ser>
        <c:ser>
          <c:idx val="1"/>
          <c:order val="1"/>
          <c:tx>
            <c:strRef>
              <c:f>ethnicity!$D$69</c:f>
              <c:strCache>
                <c:ptCount val="1"/>
                <c:pt idx="0">
                  <c:v>White</c:v>
                </c:pt>
              </c:strCache>
            </c:strRef>
          </c:tx>
          <c:spPr>
            <a:solidFill>
              <a:schemeClr val="accent2"/>
            </a:solidFill>
            <a:ln>
              <a:noFill/>
            </a:ln>
            <a:effectLst/>
          </c:spPr>
          <c:invertIfNegative val="0"/>
          <c:cat>
            <c:multiLvlStrRef>
              <c:f>ethnicity!$A$70:$B$77</c:f>
              <c:multiLvlStrCache>
                <c:ptCount val="8"/>
                <c:lvl>
                  <c:pt idx="0">
                    <c:v>2021</c:v>
                  </c:pt>
                  <c:pt idx="1">
                    <c:v>2022</c:v>
                  </c:pt>
                  <c:pt idx="2">
                    <c:v>2021</c:v>
                  </c:pt>
                  <c:pt idx="3">
                    <c:v>2022</c:v>
                  </c:pt>
                  <c:pt idx="4">
                    <c:v>2021</c:v>
                  </c:pt>
                  <c:pt idx="5">
                    <c:v>2022</c:v>
                  </c:pt>
                  <c:pt idx="6">
                    <c:v>2021</c:v>
                  </c:pt>
                  <c:pt idx="7">
                    <c:v>2022</c:v>
                  </c:pt>
                </c:lvl>
                <c:lvl>
                  <c:pt idx="0">
                    <c:v>Lower Quartile</c:v>
                  </c:pt>
                  <c:pt idx="2">
                    <c:v>Lower Middle</c:v>
                  </c:pt>
                  <c:pt idx="4">
                    <c:v>Upper Middle</c:v>
                  </c:pt>
                  <c:pt idx="6">
                    <c:v>Upper Quartile</c:v>
                  </c:pt>
                </c:lvl>
              </c:multiLvlStrCache>
            </c:multiLvlStrRef>
          </c:cat>
          <c:val>
            <c:numRef>
              <c:f>ethnicity!$D$70:$D$77</c:f>
              <c:numCache>
                <c:formatCode>0.0%</c:formatCode>
                <c:ptCount val="8"/>
                <c:pt idx="0">
                  <c:v>0.72599999999999998</c:v>
                </c:pt>
                <c:pt idx="1">
                  <c:v>0.67800000000000005</c:v>
                </c:pt>
                <c:pt idx="2">
                  <c:v>0.81100000000000005</c:v>
                </c:pt>
                <c:pt idx="3">
                  <c:v>0.8</c:v>
                </c:pt>
                <c:pt idx="4">
                  <c:v>0.80800000000000005</c:v>
                </c:pt>
                <c:pt idx="5">
                  <c:v>0.77800000000000002</c:v>
                </c:pt>
                <c:pt idx="6">
                  <c:v>0.85099999999999998</c:v>
                </c:pt>
                <c:pt idx="7">
                  <c:v>0.80900000000000005</c:v>
                </c:pt>
              </c:numCache>
            </c:numRef>
          </c:val>
          <c:extLst>
            <c:ext xmlns:c16="http://schemas.microsoft.com/office/drawing/2014/chart" uri="{C3380CC4-5D6E-409C-BE32-E72D297353CC}">
              <c16:uniqueId val="{00000001-BE06-4561-AABD-A3016452A24D}"/>
            </c:ext>
          </c:extLst>
        </c:ser>
        <c:dLbls>
          <c:showLegendKey val="0"/>
          <c:showVal val="0"/>
          <c:showCatName val="0"/>
          <c:showSerName val="0"/>
          <c:showPercent val="0"/>
          <c:showBubbleSize val="0"/>
        </c:dLbls>
        <c:gapWidth val="150"/>
        <c:overlap val="100"/>
        <c:axId val="873565032"/>
        <c:axId val="873563720"/>
      </c:barChart>
      <c:catAx>
        <c:axId val="873565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3563720"/>
        <c:crosses val="autoZero"/>
        <c:auto val="1"/>
        <c:lblAlgn val="ctr"/>
        <c:lblOffset val="100"/>
        <c:noMultiLvlLbl val="0"/>
      </c:catAx>
      <c:valAx>
        <c:axId val="87356372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3565032"/>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Disability!$C$64</c:f>
              <c:strCache>
                <c:ptCount val="1"/>
                <c:pt idx="0">
                  <c:v>Disabled</c:v>
                </c:pt>
              </c:strCache>
            </c:strRef>
          </c:tx>
          <c:spPr>
            <a:solidFill>
              <a:schemeClr val="accent1"/>
            </a:solidFill>
            <a:ln>
              <a:noFill/>
            </a:ln>
            <a:effectLst/>
          </c:spPr>
          <c:invertIfNegative val="0"/>
          <c:cat>
            <c:multiLvlStrRef>
              <c:f>Disability!$A$65:$B$72</c:f>
              <c:multiLvlStrCache>
                <c:ptCount val="8"/>
                <c:lvl>
                  <c:pt idx="0">
                    <c:v>2021</c:v>
                  </c:pt>
                  <c:pt idx="1">
                    <c:v>2022</c:v>
                  </c:pt>
                  <c:pt idx="2">
                    <c:v>2021</c:v>
                  </c:pt>
                  <c:pt idx="3">
                    <c:v>2022</c:v>
                  </c:pt>
                  <c:pt idx="4">
                    <c:v>2021</c:v>
                  </c:pt>
                  <c:pt idx="5">
                    <c:v>2022</c:v>
                  </c:pt>
                  <c:pt idx="6">
                    <c:v>2021</c:v>
                  </c:pt>
                  <c:pt idx="7">
                    <c:v>2022</c:v>
                  </c:pt>
                </c:lvl>
                <c:lvl>
                  <c:pt idx="0">
                    <c:v>Lower Quartile</c:v>
                  </c:pt>
                  <c:pt idx="2">
                    <c:v>Lower Middle</c:v>
                  </c:pt>
                  <c:pt idx="4">
                    <c:v>Upper Middle</c:v>
                  </c:pt>
                  <c:pt idx="6">
                    <c:v>Upper Quartile</c:v>
                  </c:pt>
                </c:lvl>
              </c:multiLvlStrCache>
            </c:multiLvlStrRef>
          </c:cat>
          <c:val>
            <c:numRef>
              <c:f>Disability!$C$65:$C$72</c:f>
              <c:numCache>
                <c:formatCode>0.0%</c:formatCode>
                <c:ptCount val="8"/>
                <c:pt idx="0">
                  <c:v>8.1000000000000003E-2</c:v>
                </c:pt>
                <c:pt idx="1">
                  <c:v>8.1000000000000003E-2</c:v>
                </c:pt>
                <c:pt idx="2">
                  <c:v>5.0999999999999997E-2</c:v>
                </c:pt>
                <c:pt idx="3">
                  <c:v>6.4000000000000001E-2</c:v>
                </c:pt>
                <c:pt idx="4">
                  <c:v>3.5999999999999997E-2</c:v>
                </c:pt>
                <c:pt idx="5">
                  <c:v>6.4000000000000001E-2</c:v>
                </c:pt>
                <c:pt idx="6">
                  <c:v>4.2000000000000003E-2</c:v>
                </c:pt>
                <c:pt idx="7">
                  <c:v>4.7E-2</c:v>
                </c:pt>
              </c:numCache>
            </c:numRef>
          </c:val>
          <c:extLst>
            <c:ext xmlns:c16="http://schemas.microsoft.com/office/drawing/2014/chart" uri="{C3380CC4-5D6E-409C-BE32-E72D297353CC}">
              <c16:uniqueId val="{00000000-F5F3-43E3-87A5-B8E62931ABF7}"/>
            </c:ext>
          </c:extLst>
        </c:ser>
        <c:ser>
          <c:idx val="1"/>
          <c:order val="1"/>
          <c:tx>
            <c:strRef>
              <c:f>Disability!$D$64</c:f>
              <c:strCache>
                <c:ptCount val="1"/>
                <c:pt idx="0">
                  <c:v>Not disabled</c:v>
                </c:pt>
              </c:strCache>
            </c:strRef>
          </c:tx>
          <c:spPr>
            <a:solidFill>
              <a:schemeClr val="accent2"/>
            </a:solidFill>
            <a:ln>
              <a:noFill/>
            </a:ln>
            <a:effectLst/>
          </c:spPr>
          <c:invertIfNegative val="0"/>
          <c:cat>
            <c:multiLvlStrRef>
              <c:f>Disability!$A$65:$B$72</c:f>
              <c:multiLvlStrCache>
                <c:ptCount val="8"/>
                <c:lvl>
                  <c:pt idx="0">
                    <c:v>2021</c:v>
                  </c:pt>
                  <c:pt idx="1">
                    <c:v>2022</c:v>
                  </c:pt>
                  <c:pt idx="2">
                    <c:v>2021</c:v>
                  </c:pt>
                  <c:pt idx="3">
                    <c:v>2022</c:v>
                  </c:pt>
                  <c:pt idx="4">
                    <c:v>2021</c:v>
                  </c:pt>
                  <c:pt idx="5">
                    <c:v>2022</c:v>
                  </c:pt>
                  <c:pt idx="6">
                    <c:v>2021</c:v>
                  </c:pt>
                  <c:pt idx="7">
                    <c:v>2022</c:v>
                  </c:pt>
                </c:lvl>
                <c:lvl>
                  <c:pt idx="0">
                    <c:v>Lower Quartile</c:v>
                  </c:pt>
                  <c:pt idx="2">
                    <c:v>Lower Middle</c:v>
                  </c:pt>
                  <c:pt idx="4">
                    <c:v>Upper Middle</c:v>
                  </c:pt>
                  <c:pt idx="6">
                    <c:v>Upper Quartile</c:v>
                  </c:pt>
                </c:lvl>
              </c:multiLvlStrCache>
            </c:multiLvlStrRef>
          </c:cat>
          <c:val>
            <c:numRef>
              <c:f>Disability!$D$65:$D$72</c:f>
              <c:numCache>
                <c:formatCode>0.0%</c:formatCode>
                <c:ptCount val="8"/>
                <c:pt idx="0">
                  <c:v>0.91900000000000004</c:v>
                </c:pt>
                <c:pt idx="1">
                  <c:v>0.91900000000000004</c:v>
                </c:pt>
                <c:pt idx="2">
                  <c:v>0.94899999999999995</c:v>
                </c:pt>
                <c:pt idx="3">
                  <c:v>0.93600000000000005</c:v>
                </c:pt>
                <c:pt idx="4">
                  <c:v>0.96399999999999997</c:v>
                </c:pt>
                <c:pt idx="5">
                  <c:v>0.93600000000000005</c:v>
                </c:pt>
                <c:pt idx="6">
                  <c:v>0.95799999999999996</c:v>
                </c:pt>
                <c:pt idx="7">
                  <c:v>0.95299999999999996</c:v>
                </c:pt>
              </c:numCache>
            </c:numRef>
          </c:val>
          <c:extLst>
            <c:ext xmlns:c16="http://schemas.microsoft.com/office/drawing/2014/chart" uri="{C3380CC4-5D6E-409C-BE32-E72D297353CC}">
              <c16:uniqueId val="{00000001-F5F3-43E3-87A5-B8E62931ABF7}"/>
            </c:ext>
          </c:extLst>
        </c:ser>
        <c:dLbls>
          <c:showLegendKey val="0"/>
          <c:showVal val="0"/>
          <c:showCatName val="0"/>
          <c:showSerName val="0"/>
          <c:showPercent val="0"/>
          <c:showBubbleSize val="0"/>
        </c:dLbls>
        <c:gapWidth val="150"/>
        <c:overlap val="100"/>
        <c:axId val="873941336"/>
        <c:axId val="873943632"/>
      </c:barChart>
      <c:catAx>
        <c:axId val="87394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orbel" panose="020B0503020204020204" pitchFamily="34" charset="0"/>
                <a:ea typeface="+mn-ea"/>
                <a:cs typeface="+mn-cs"/>
              </a:defRPr>
            </a:pPr>
            <a:endParaRPr lang="en-US"/>
          </a:p>
        </c:txPr>
        <c:crossAx val="873943632"/>
        <c:crosses val="autoZero"/>
        <c:auto val="1"/>
        <c:lblAlgn val="ctr"/>
        <c:lblOffset val="100"/>
        <c:noMultiLvlLbl val="0"/>
      </c:catAx>
      <c:valAx>
        <c:axId val="873943632"/>
        <c:scaling>
          <c:orientation val="minMax"/>
          <c:max val="1"/>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3941336"/>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ysClr val="windowText" lastClr="000000"/>
                </a:solidFill>
                <a:latin typeface="Corbel" panose="020B0503020204020204" pitchFamily="34" charset="0"/>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'College - Sex and grade Compari'!$B$2</c:f>
              <c:strCache>
                <c:ptCount val="1"/>
                <c:pt idx="0">
                  <c:v>2022</c:v>
                </c:pt>
              </c:strCache>
            </c:strRef>
          </c:tx>
          <c:spPr>
            <a:solidFill>
              <a:schemeClr val="accent1"/>
            </a:solidFill>
            <a:ln>
              <a:noFill/>
            </a:ln>
            <a:effectLst/>
          </c:spPr>
          <c:invertIfNegative val="0"/>
          <c:cat>
            <c:strRef>
              <c:f>'College - Sex and grade Compari'!$A$3:$A$12</c:f>
              <c:strCache>
                <c:ptCount val="10"/>
                <c:pt idx="0">
                  <c:v>RHUL 2 (19)*</c:v>
                </c:pt>
                <c:pt idx="1">
                  <c:v>RHUL 3 (27)</c:v>
                </c:pt>
                <c:pt idx="2">
                  <c:v>RHUL 4 (90)</c:v>
                </c:pt>
                <c:pt idx="3">
                  <c:v>RHUL 5 (232)</c:v>
                </c:pt>
                <c:pt idx="4">
                  <c:v>RHUL 6 (180)</c:v>
                </c:pt>
                <c:pt idx="5">
                  <c:v>RHUL 7 (284)</c:v>
                </c:pt>
                <c:pt idx="6">
                  <c:v>RHUL 8 (409)</c:v>
                </c:pt>
                <c:pt idx="7">
                  <c:v>RHUL 9 (277)</c:v>
                </c:pt>
                <c:pt idx="8">
                  <c:v>Professor (223)</c:v>
                </c:pt>
                <c:pt idx="9">
                  <c:v>RHUL 10 (24)</c:v>
                </c:pt>
              </c:strCache>
            </c:strRef>
          </c:cat>
          <c:val>
            <c:numRef>
              <c:f>'College - Sex and grade Compari'!$B$3:$B$12</c:f>
              <c:numCache>
                <c:formatCode>0.0%</c:formatCode>
                <c:ptCount val="10"/>
                <c:pt idx="0">
                  <c:v>0.47399999999999998</c:v>
                </c:pt>
                <c:pt idx="1">
                  <c:v>0.33300000000000002</c:v>
                </c:pt>
                <c:pt idx="2">
                  <c:v>0.65600000000000003</c:v>
                </c:pt>
                <c:pt idx="3">
                  <c:v>0.629</c:v>
                </c:pt>
                <c:pt idx="4">
                  <c:v>0.73899999999999999</c:v>
                </c:pt>
                <c:pt idx="5">
                  <c:v>0.56999999999999995</c:v>
                </c:pt>
                <c:pt idx="6">
                  <c:v>0.499</c:v>
                </c:pt>
                <c:pt idx="7">
                  <c:v>0.44</c:v>
                </c:pt>
                <c:pt idx="8">
                  <c:v>0.32700000000000001</c:v>
                </c:pt>
                <c:pt idx="9">
                  <c:v>0.45800000000000002</c:v>
                </c:pt>
              </c:numCache>
            </c:numRef>
          </c:val>
          <c:extLst>
            <c:ext xmlns:c16="http://schemas.microsoft.com/office/drawing/2014/chart" uri="{C3380CC4-5D6E-409C-BE32-E72D297353CC}">
              <c16:uniqueId val="{00000000-36BD-4F23-BA03-02C60CAB0550}"/>
            </c:ext>
          </c:extLst>
        </c:ser>
        <c:ser>
          <c:idx val="1"/>
          <c:order val="1"/>
          <c:tx>
            <c:strRef>
              <c:f>'College - Sex and grade Compari'!$C$2</c:f>
              <c:strCache>
                <c:ptCount val="1"/>
                <c:pt idx="0">
                  <c:v>2021</c:v>
                </c:pt>
              </c:strCache>
            </c:strRef>
          </c:tx>
          <c:spPr>
            <a:solidFill>
              <a:schemeClr val="accent2"/>
            </a:solidFill>
            <a:ln>
              <a:noFill/>
            </a:ln>
            <a:effectLst/>
          </c:spPr>
          <c:invertIfNegative val="0"/>
          <c:cat>
            <c:strRef>
              <c:f>'College - Sex and grade Compari'!$A$3:$A$12</c:f>
              <c:strCache>
                <c:ptCount val="10"/>
                <c:pt idx="0">
                  <c:v>RHUL 2 (19)*</c:v>
                </c:pt>
                <c:pt idx="1">
                  <c:v>RHUL 3 (27)</c:v>
                </c:pt>
                <c:pt idx="2">
                  <c:v>RHUL 4 (90)</c:v>
                </c:pt>
                <c:pt idx="3">
                  <c:v>RHUL 5 (232)</c:v>
                </c:pt>
                <c:pt idx="4">
                  <c:v>RHUL 6 (180)</c:v>
                </c:pt>
                <c:pt idx="5">
                  <c:v>RHUL 7 (284)</c:v>
                </c:pt>
                <c:pt idx="6">
                  <c:v>RHUL 8 (409)</c:v>
                </c:pt>
                <c:pt idx="7">
                  <c:v>RHUL 9 (277)</c:v>
                </c:pt>
                <c:pt idx="8">
                  <c:v>Professor (223)</c:v>
                </c:pt>
                <c:pt idx="9">
                  <c:v>RHUL 10 (24)</c:v>
                </c:pt>
              </c:strCache>
            </c:strRef>
          </c:cat>
          <c:val>
            <c:numRef>
              <c:f>'College - Sex and grade Compari'!$C$3:$C$12</c:f>
              <c:numCache>
                <c:formatCode>0.0%</c:formatCode>
                <c:ptCount val="10"/>
                <c:pt idx="0">
                  <c:v>0.52200000000000002</c:v>
                </c:pt>
                <c:pt idx="1">
                  <c:v>0.41899999999999998</c:v>
                </c:pt>
                <c:pt idx="2">
                  <c:v>0.66300000000000003</c:v>
                </c:pt>
                <c:pt idx="3">
                  <c:v>0.64200000000000002</c:v>
                </c:pt>
                <c:pt idx="4">
                  <c:v>0.73</c:v>
                </c:pt>
                <c:pt idx="5">
                  <c:v>0.55000000000000004</c:v>
                </c:pt>
                <c:pt idx="6">
                  <c:v>0.503</c:v>
                </c:pt>
                <c:pt idx="7">
                  <c:v>0.47499999999999998</c:v>
                </c:pt>
                <c:pt idx="8">
                  <c:v>0.32100000000000001</c:v>
                </c:pt>
                <c:pt idx="9">
                  <c:v>0.45800000000000002</c:v>
                </c:pt>
              </c:numCache>
            </c:numRef>
          </c:val>
          <c:extLst>
            <c:ext xmlns:c16="http://schemas.microsoft.com/office/drawing/2014/chart" uri="{C3380CC4-5D6E-409C-BE32-E72D297353CC}">
              <c16:uniqueId val="{00000001-36BD-4F23-BA03-02C60CAB0550}"/>
            </c:ext>
          </c:extLst>
        </c:ser>
        <c:dLbls>
          <c:showLegendKey val="0"/>
          <c:showVal val="0"/>
          <c:showCatName val="0"/>
          <c:showSerName val="0"/>
          <c:showPercent val="0"/>
          <c:showBubbleSize val="0"/>
        </c:dLbls>
        <c:gapWidth val="219"/>
        <c:overlap val="-27"/>
        <c:axId val="636848944"/>
        <c:axId val="636844352"/>
      </c:barChart>
      <c:catAx>
        <c:axId val="63684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844352"/>
        <c:crosses val="autoZero"/>
        <c:auto val="1"/>
        <c:lblAlgn val="ctr"/>
        <c:lblOffset val="100"/>
        <c:noMultiLvlLbl val="0"/>
      </c:catAx>
      <c:valAx>
        <c:axId val="636844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8489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8720020819462"/>
          <c:y val="7.9600317535264878E-2"/>
          <c:w val="0.82110879369987777"/>
          <c:h val="0.61612902172955186"/>
        </c:manualLayout>
      </c:layout>
      <c:barChart>
        <c:barDir val="bar"/>
        <c:grouping val="stacked"/>
        <c:varyColors val="0"/>
        <c:ser>
          <c:idx val="0"/>
          <c:order val="0"/>
          <c:tx>
            <c:strRef>
              <c:f>Ethnicity!$B$3</c:f>
              <c:strCache>
                <c:ptCount val="1"/>
                <c:pt idx="0">
                  <c:v>Black &amp; Global Majority</c:v>
                </c:pt>
              </c:strCache>
            </c:strRef>
          </c:tx>
          <c:spPr>
            <a:solidFill>
              <a:schemeClr val="accent1"/>
            </a:solidFill>
            <a:ln>
              <a:noFill/>
            </a:ln>
            <a:effectLst/>
          </c:spPr>
          <c:invertIfNegative val="0"/>
          <c:cat>
            <c:numRef>
              <c:f>Ethnicity!$A$4:$A$8</c:f>
              <c:numCache>
                <c:formatCode>0</c:formatCode>
                <c:ptCount val="5"/>
                <c:pt idx="0" formatCode="General">
                  <c:v>2018</c:v>
                </c:pt>
                <c:pt idx="1">
                  <c:v>2019</c:v>
                </c:pt>
                <c:pt idx="2" formatCode="General">
                  <c:v>2020</c:v>
                </c:pt>
                <c:pt idx="3" formatCode="General">
                  <c:v>2021</c:v>
                </c:pt>
                <c:pt idx="4" formatCode="General">
                  <c:v>2022</c:v>
                </c:pt>
              </c:numCache>
            </c:numRef>
          </c:cat>
          <c:val>
            <c:numRef>
              <c:f>Ethnicity!$B$4:$B$8</c:f>
              <c:numCache>
                <c:formatCode>0.0%</c:formatCode>
                <c:ptCount val="5"/>
                <c:pt idx="0">
                  <c:v>0.156</c:v>
                </c:pt>
                <c:pt idx="1">
                  <c:v>0.155</c:v>
                </c:pt>
                <c:pt idx="2">
                  <c:v>0.16900000000000001</c:v>
                </c:pt>
                <c:pt idx="3">
                  <c:v>0.17399999999999999</c:v>
                </c:pt>
                <c:pt idx="4">
                  <c:v>0.19400000000000001</c:v>
                </c:pt>
              </c:numCache>
            </c:numRef>
          </c:val>
          <c:extLst>
            <c:ext xmlns:c16="http://schemas.microsoft.com/office/drawing/2014/chart" uri="{C3380CC4-5D6E-409C-BE32-E72D297353CC}">
              <c16:uniqueId val="{00000000-7C4F-48CF-863E-17B4014AE32B}"/>
            </c:ext>
          </c:extLst>
        </c:ser>
        <c:ser>
          <c:idx val="1"/>
          <c:order val="1"/>
          <c:tx>
            <c:strRef>
              <c:f>Ethnicity!$C$3</c:f>
              <c:strCache>
                <c:ptCount val="1"/>
                <c:pt idx="0">
                  <c:v>White</c:v>
                </c:pt>
              </c:strCache>
            </c:strRef>
          </c:tx>
          <c:spPr>
            <a:solidFill>
              <a:schemeClr val="accent2"/>
            </a:solidFill>
            <a:ln>
              <a:noFill/>
            </a:ln>
            <a:effectLst/>
          </c:spPr>
          <c:invertIfNegative val="0"/>
          <c:cat>
            <c:numRef>
              <c:f>Ethnicity!$A$4:$A$8</c:f>
              <c:numCache>
                <c:formatCode>0</c:formatCode>
                <c:ptCount val="5"/>
                <c:pt idx="0" formatCode="General">
                  <c:v>2018</c:v>
                </c:pt>
                <c:pt idx="1">
                  <c:v>2019</c:v>
                </c:pt>
                <c:pt idx="2" formatCode="General">
                  <c:v>2020</c:v>
                </c:pt>
                <c:pt idx="3" formatCode="General">
                  <c:v>2021</c:v>
                </c:pt>
                <c:pt idx="4" formatCode="General">
                  <c:v>2022</c:v>
                </c:pt>
              </c:numCache>
            </c:numRef>
          </c:cat>
          <c:val>
            <c:numRef>
              <c:f>Ethnicity!$C$4:$C$8</c:f>
              <c:numCache>
                <c:formatCode>0.0%</c:formatCode>
                <c:ptCount val="5"/>
                <c:pt idx="0">
                  <c:v>0.80900000000000005</c:v>
                </c:pt>
                <c:pt idx="1">
                  <c:v>0.81100000000000005</c:v>
                </c:pt>
                <c:pt idx="2">
                  <c:v>0.79400000000000004</c:v>
                </c:pt>
                <c:pt idx="3">
                  <c:v>0.78900000000000003</c:v>
                </c:pt>
                <c:pt idx="4">
                  <c:v>0.76700000000000002</c:v>
                </c:pt>
              </c:numCache>
            </c:numRef>
          </c:val>
          <c:extLst>
            <c:ext xmlns:c16="http://schemas.microsoft.com/office/drawing/2014/chart" uri="{C3380CC4-5D6E-409C-BE32-E72D297353CC}">
              <c16:uniqueId val="{00000001-7C4F-48CF-863E-17B4014AE32B}"/>
            </c:ext>
          </c:extLst>
        </c:ser>
        <c:ser>
          <c:idx val="2"/>
          <c:order val="2"/>
          <c:tx>
            <c:strRef>
              <c:f>Ethnicity!$D$3</c:f>
              <c:strCache>
                <c:ptCount val="1"/>
                <c:pt idx="0">
                  <c:v>Prefer not to say</c:v>
                </c:pt>
              </c:strCache>
            </c:strRef>
          </c:tx>
          <c:spPr>
            <a:solidFill>
              <a:schemeClr val="accent3"/>
            </a:solidFill>
            <a:ln>
              <a:noFill/>
            </a:ln>
            <a:effectLst/>
          </c:spPr>
          <c:invertIfNegative val="0"/>
          <c:cat>
            <c:numRef>
              <c:f>Ethnicity!$A$4:$A$8</c:f>
              <c:numCache>
                <c:formatCode>0</c:formatCode>
                <c:ptCount val="5"/>
                <c:pt idx="0" formatCode="General">
                  <c:v>2018</c:v>
                </c:pt>
                <c:pt idx="1">
                  <c:v>2019</c:v>
                </c:pt>
                <c:pt idx="2" formatCode="General">
                  <c:v>2020</c:v>
                </c:pt>
                <c:pt idx="3" formatCode="General">
                  <c:v>2021</c:v>
                </c:pt>
                <c:pt idx="4" formatCode="General">
                  <c:v>2022</c:v>
                </c:pt>
              </c:numCache>
            </c:numRef>
          </c:cat>
          <c:val>
            <c:numRef>
              <c:f>Ethnicity!$D$4:$D$8</c:f>
              <c:numCache>
                <c:formatCode>0.0%</c:formatCode>
                <c:ptCount val="5"/>
                <c:pt idx="0">
                  <c:v>3.5000000000000003E-2</c:v>
                </c:pt>
                <c:pt idx="1">
                  <c:v>3.4000000000000002E-2</c:v>
                </c:pt>
                <c:pt idx="2">
                  <c:v>3.6999999999999998E-2</c:v>
                </c:pt>
                <c:pt idx="3">
                  <c:v>3.7999999999999999E-2</c:v>
                </c:pt>
                <c:pt idx="4">
                  <c:v>3.9E-2</c:v>
                </c:pt>
              </c:numCache>
            </c:numRef>
          </c:val>
          <c:extLst>
            <c:ext xmlns:c16="http://schemas.microsoft.com/office/drawing/2014/chart" uri="{C3380CC4-5D6E-409C-BE32-E72D297353CC}">
              <c16:uniqueId val="{00000002-7C4F-48CF-863E-17B4014AE32B}"/>
            </c:ext>
          </c:extLst>
        </c:ser>
        <c:dLbls>
          <c:showLegendKey val="0"/>
          <c:showVal val="0"/>
          <c:showCatName val="0"/>
          <c:showSerName val="0"/>
          <c:showPercent val="0"/>
          <c:showBubbleSize val="0"/>
        </c:dLbls>
        <c:gapWidth val="150"/>
        <c:overlap val="100"/>
        <c:axId val="750963680"/>
        <c:axId val="750957448"/>
      </c:barChart>
      <c:catAx>
        <c:axId val="750963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orbel" panose="020B0503020204020204" pitchFamily="34" charset="0"/>
                <a:ea typeface="+mn-ea"/>
                <a:cs typeface="+mn-cs"/>
              </a:defRPr>
            </a:pPr>
            <a:endParaRPr lang="en-US"/>
          </a:p>
        </c:txPr>
        <c:crossAx val="750957448"/>
        <c:crosses val="autoZero"/>
        <c:auto val="1"/>
        <c:lblAlgn val="ctr"/>
        <c:lblOffset val="100"/>
        <c:noMultiLvlLbl val="0"/>
      </c:catAx>
      <c:valAx>
        <c:axId val="750957448"/>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750963680"/>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Corbel" panose="020B0503020204020204" pitchFamily="34" charset="0"/>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Corbel" panose="020B0503020204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'College - ethn grade compar'!$B$3</c:f>
              <c:strCache>
                <c:ptCount val="1"/>
                <c:pt idx="0">
                  <c:v>2022</c:v>
                </c:pt>
              </c:strCache>
            </c:strRef>
          </c:tx>
          <c:spPr>
            <a:solidFill>
              <a:schemeClr val="accent1"/>
            </a:solidFill>
            <a:ln>
              <a:noFill/>
            </a:ln>
            <a:effectLst/>
          </c:spPr>
          <c:invertIfNegative val="0"/>
          <c:cat>
            <c:strRef>
              <c:f>'College - ethn grade compar'!$A$4:$A$10</c:f>
              <c:strCache>
                <c:ptCount val="7"/>
                <c:pt idx="0">
                  <c:v>RHUL 4 (90)*</c:v>
                </c:pt>
                <c:pt idx="1">
                  <c:v>RHUL 5 (232)</c:v>
                </c:pt>
                <c:pt idx="2">
                  <c:v>RHUL 6 (180)</c:v>
                </c:pt>
                <c:pt idx="3">
                  <c:v>RHUL 7 (284)</c:v>
                </c:pt>
                <c:pt idx="4">
                  <c:v>RHUL 8 (409)</c:v>
                </c:pt>
                <c:pt idx="5">
                  <c:v>RHUL 9 (277)</c:v>
                </c:pt>
                <c:pt idx="6">
                  <c:v>Professor (223)</c:v>
                </c:pt>
              </c:strCache>
            </c:strRef>
          </c:cat>
          <c:val>
            <c:numRef>
              <c:f>'College - ethn grade compar'!$B$4:$B$10</c:f>
              <c:numCache>
                <c:formatCode>0.0%</c:formatCode>
                <c:ptCount val="7"/>
                <c:pt idx="0">
                  <c:v>0.16700000000000001</c:v>
                </c:pt>
                <c:pt idx="1">
                  <c:v>0.22</c:v>
                </c:pt>
                <c:pt idx="2">
                  <c:v>0.15</c:v>
                </c:pt>
                <c:pt idx="3">
                  <c:v>0.19400000000000001</c:v>
                </c:pt>
                <c:pt idx="4">
                  <c:v>0.23</c:v>
                </c:pt>
                <c:pt idx="5">
                  <c:v>0.20200000000000001</c:v>
                </c:pt>
                <c:pt idx="6">
                  <c:v>0.112</c:v>
                </c:pt>
              </c:numCache>
            </c:numRef>
          </c:val>
          <c:extLst>
            <c:ext xmlns:c16="http://schemas.microsoft.com/office/drawing/2014/chart" uri="{C3380CC4-5D6E-409C-BE32-E72D297353CC}">
              <c16:uniqueId val="{00000000-E075-4145-A299-0336DE69834A}"/>
            </c:ext>
          </c:extLst>
        </c:ser>
        <c:ser>
          <c:idx val="1"/>
          <c:order val="1"/>
          <c:tx>
            <c:strRef>
              <c:f>'College - ethn grade compar'!$C$3</c:f>
              <c:strCache>
                <c:ptCount val="1"/>
                <c:pt idx="0">
                  <c:v>2021</c:v>
                </c:pt>
              </c:strCache>
            </c:strRef>
          </c:tx>
          <c:spPr>
            <a:solidFill>
              <a:schemeClr val="accent2"/>
            </a:solidFill>
            <a:ln>
              <a:noFill/>
            </a:ln>
            <a:effectLst/>
          </c:spPr>
          <c:invertIfNegative val="0"/>
          <c:cat>
            <c:strRef>
              <c:f>'College - ethn grade compar'!$A$4:$A$10</c:f>
              <c:strCache>
                <c:ptCount val="7"/>
                <c:pt idx="0">
                  <c:v>RHUL 4 (90)*</c:v>
                </c:pt>
                <c:pt idx="1">
                  <c:v>RHUL 5 (232)</c:v>
                </c:pt>
                <c:pt idx="2">
                  <c:v>RHUL 6 (180)</c:v>
                </c:pt>
                <c:pt idx="3">
                  <c:v>RHUL 7 (284)</c:v>
                </c:pt>
                <c:pt idx="4">
                  <c:v>RHUL 8 (409)</c:v>
                </c:pt>
                <c:pt idx="5">
                  <c:v>RHUL 9 (277)</c:v>
                </c:pt>
                <c:pt idx="6">
                  <c:v>Professor (223)</c:v>
                </c:pt>
              </c:strCache>
            </c:strRef>
          </c:cat>
          <c:val>
            <c:numRef>
              <c:f>'College - ethn grade compar'!$C$4:$C$10</c:f>
              <c:numCache>
                <c:formatCode>0.0%</c:formatCode>
                <c:ptCount val="7"/>
                <c:pt idx="0">
                  <c:v>0.186</c:v>
                </c:pt>
                <c:pt idx="1">
                  <c:v>0.17</c:v>
                </c:pt>
                <c:pt idx="2">
                  <c:v>0.155</c:v>
                </c:pt>
                <c:pt idx="3">
                  <c:v>0.188</c:v>
                </c:pt>
                <c:pt idx="4">
                  <c:v>0.19500000000000001</c:v>
                </c:pt>
                <c:pt idx="5">
                  <c:v>0.17399999999999999</c:v>
                </c:pt>
                <c:pt idx="6">
                  <c:v>0.10100000000000001</c:v>
                </c:pt>
              </c:numCache>
            </c:numRef>
          </c:val>
          <c:extLst>
            <c:ext xmlns:c16="http://schemas.microsoft.com/office/drawing/2014/chart" uri="{C3380CC4-5D6E-409C-BE32-E72D297353CC}">
              <c16:uniqueId val="{00000001-E075-4145-A299-0336DE69834A}"/>
            </c:ext>
          </c:extLst>
        </c:ser>
        <c:dLbls>
          <c:showLegendKey val="0"/>
          <c:showVal val="0"/>
          <c:showCatName val="0"/>
          <c:showSerName val="0"/>
          <c:showPercent val="0"/>
          <c:showBubbleSize val="0"/>
        </c:dLbls>
        <c:gapWidth val="219"/>
        <c:overlap val="-27"/>
        <c:axId val="634315152"/>
        <c:axId val="634310232"/>
      </c:barChart>
      <c:catAx>
        <c:axId val="63431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310232"/>
        <c:crosses val="autoZero"/>
        <c:auto val="1"/>
        <c:lblAlgn val="ctr"/>
        <c:lblOffset val="100"/>
        <c:noMultiLvlLbl val="0"/>
      </c:catAx>
      <c:valAx>
        <c:axId val="634310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315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Nationality!$B$3</c:f>
              <c:strCache>
                <c:ptCount val="1"/>
                <c:pt idx="0">
                  <c:v>Non-UK Nationality</c:v>
                </c:pt>
              </c:strCache>
            </c:strRef>
          </c:tx>
          <c:spPr>
            <a:solidFill>
              <a:schemeClr val="accent1"/>
            </a:solidFill>
            <a:ln>
              <a:noFill/>
            </a:ln>
            <a:effectLst/>
          </c:spPr>
          <c:invertIfNegative val="0"/>
          <c:cat>
            <c:numRef>
              <c:f>Nationality!$A$4:$A$8</c:f>
              <c:numCache>
                <c:formatCode>General</c:formatCode>
                <c:ptCount val="5"/>
                <c:pt idx="0">
                  <c:v>2018</c:v>
                </c:pt>
                <c:pt idx="1">
                  <c:v>2019</c:v>
                </c:pt>
                <c:pt idx="2">
                  <c:v>2020</c:v>
                </c:pt>
                <c:pt idx="3">
                  <c:v>2021</c:v>
                </c:pt>
                <c:pt idx="4">
                  <c:v>2022</c:v>
                </c:pt>
              </c:numCache>
            </c:numRef>
          </c:cat>
          <c:val>
            <c:numRef>
              <c:f>Nationality!$B$4:$B$8</c:f>
              <c:numCache>
                <c:formatCode>0.0%</c:formatCode>
                <c:ptCount val="5"/>
                <c:pt idx="0">
                  <c:v>0.28000000000000003</c:v>
                </c:pt>
                <c:pt idx="1">
                  <c:v>0.27400000000000002</c:v>
                </c:pt>
                <c:pt idx="2">
                  <c:v>0.26</c:v>
                </c:pt>
                <c:pt idx="3">
                  <c:v>0.249</c:v>
                </c:pt>
                <c:pt idx="4">
                  <c:v>0.253</c:v>
                </c:pt>
              </c:numCache>
            </c:numRef>
          </c:val>
          <c:extLst>
            <c:ext xmlns:c16="http://schemas.microsoft.com/office/drawing/2014/chart" uri="{C3380CC4-5D6E-409C-BE32-E72D297353CC}">
              <c16:uniqueId val="{00000000-194D-4306-8B6D-D4F0B48F04CF}"/>
            </c:ext>
          </c:extLst>
        </c:ser>
        <c:ser>
          <c:idx val="1"/>
          <c:order val="1"/>
          <c:tx>
            <c:strRef>
              <c:f>Nationality!$C$3</c:f>
              <c:strCache>
                <c:ptCount val="1"/>
                <c:pt idx="0">
                  <c:v>UK Nationality</c:v>
                </c:pt>
              </c:strCache>
            </c:strRef>
          </c:tx>
          <c:spPr>
            <a:solidFill>
              <a:schemeClr val="accent2"/>
            </a:solidFill>
            <a:ln>
              <a:noFill/>
            </a:ln>
            <a:effectLst/>
          </c:spPr>
          <c:invertIfNegative val="0"/>
          <c:cat>
            <c:numRef>
              <c:f>Nationality!$A$4:$A$8</c:f>
              <c:numCache>
                <c:formatCode>General</c:formatCode>
                <c:ptCount val="5"/>
                <c:pt idx="0">
                  <c:v>2018</c:v>
                </c:pt>
                <c:pt idx="1">
                  <c:v>2019</c:v>
                </c:pt>
                <c:pt idx="2">
                  <c:v>2020</c:v>
                </c:pt>
                <c:pt idx="3">
                  <c:v>2021</c:v>
                </c:pt>
                <c:pt idx="4">
                  <c:v>2022</c:v>
                </c:pt>
              </c:numCache>
            </c:numRef>
          </c:cat>
          <c:val>
            <c:numRef>
              <c:f>Nationality!$C$4:$C$8</c:f>
              <c:numCache>
                <c:formatCode>0.0%</c:formatCode>
                <c:ptCount val="5"/>
                <c:pt idx="0">
                  <c:v>0.72</c:v>
                </c:pt>
                <c:pt idx="1">
                  <c:v>0.72599999999999998</c:v>
                </c:pt>
                <c:pt idx="2">
                  <c:v>0.74</c:v>
                </c:pt>
                <c:pt idx="3">
                  <c:v>0.74399999999999999</c:v>
                </c:pt>
                <c:pt idx="4">
                  <c:v>0.747</c:v>
                </c:pt>
              </c:numCache>
            </c:numRef>
          </c:val>
          <c:extLst>
            <c:ext xmlns:c16="http://schemas.microsoft.com/office/drawing/2014/chart" uri="{C3380CC4-5D6E-409C-BE32-E72D297353CC}">
              <c16:uniqueId val="{00000001-194D-4306-8B6D-D4F0B48F04CF}"/>
            </c:ext>
          </c:extLst>
        </c:ser>
        <c:dLbls>
          <c:showLegendKey val="0"/>
          <c:showVal val="0"/>
          <c:showCatName val="0"/>
          <c:showSerName val="0"/>
          <c:showPercent val="0"/>
          <c:showBubbleSize val="0"/>
        </c:dLbls>
        <c:gapWidth val="150"/>
        <c:overlap val="100"/>
        <c:axId val="794606872"/>
        <c:axId val="794611136"/>
      </c:barChart>
      <c:catAx>
        <c:axId val="794606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orbel" panose="020B0503020204020204" pitchFamily="34" charset="0"/>
                <a:ea typeface="+mn-ea"/>
                <a:cs typeface="+mn-cs"/>
              </a:defRPr>
            </a:pPr>
            <a:endParaRPr lang="en-US"/>
          </a:p>
        </c:txPr>
        <c:crossAx val="794611136"/>
        <c:crosses val="autoZero"/>
        <c:auto val="1"/>
        <c:lblAlgn val="ctr"/>
        <c:lblOffset val="100"/>
        <c:noMultiLvlLbl val="0"/>
      </c:catAx>
      <c:valAx>
        <c:axId val="794611136"/>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794606872"/>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Corbel" panose="020B0503020204020204" pitchFamily="34" charset="0"/>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Corbel" panose="020B0503020204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Disability!$B$4</c:f>
              <c:strCache>
                <c:ptCount val="1"/>
                <c:pt idx="0">
                  <c:v>Disabled</c:v>
                </c:pt>
              </c:strCache>
            </c:strRef>
          </c:tx>
          <c:spPr>
            <a:solidFill>
              <a:schemeClr val="accent1"/>
            </a:solidFill>
            <a:ln>
              <a:noFill/>
            </a:ln>
            <a:effectLst/>
          </c:spPr>
          <c:invertIfNegative val="0"/>
          <c:cat>
            <c:numRef>
              <c:f>Disability!$A$5:$A$9</c:f>
              <c:numCache>
                <c:formatCode>General</c:formatCode>
                <c:ptCount val="5"/>
                <c:pt idx="0">
                  <c:v>2018</c:v>
                </c:pt>
                <c:pt idx="1">
                  <c:v>2019</c:v>
                </c:pt>
                <c:pt idx="2">
                  <c:v>2020</c:v>
                </c:pt>
                <c:pt idx="3">
                  <c:v>2021</c:v>
                </c:pt>
                <c:pt idx="4">
                  <c:v>2022</c:v>
                </c:pt>
              </c:numCache>
            </c:numRef>
          </c:cat>
          <c:val>
            <c:numRef>
              <c:f>Disability!$B$5:$B$9</c:f>
              <c:numCache>
                <c:formatCode>0.0%</c:formatCode>
                <c:ptCount val="5"/>
                <c:pt idx="0">
                  <c:v>2.7E-2</c:v>
                </c:pt>
                <c:pt idx="1">
                  <c:v>3.5999999999999997E-2</c:v>
                </c:pt>
                <c:pt idx="2">
                  <c:v>4.1000000000000002E-2</c:v>
                </c:pt>
                <c:pt idx="3">
                  <c:v>4.5999999999999999E-2</c:v>
                </c:pt>
                <c:pt idx="4">
                  <c:v>4.9000000000000002E-2</c:v>
                </c:pt>
              </c:numCache>
            </c:numRef>
          </c:val>
          <c:extLst>
            <c:ext xmlns:c16="http://schemas.microsoft.com/office/drawing/2014/chart" uri="{C3380CC4-5D6E-409C-BE32-E72D297353CC}">
              <c16:uniqueId val="{00000000-D000-4168-80C7-2198C655D158}"/>
            </c:ext>
          </c:extLst>
        </c:ser>
        <c:ser>
          <c:idx val="1"/>
          <c:order val="1"/>
          <c:tx>
            <c:strRef>
              <c:f>Disability!$C$4</c:f>
              <c:strCache>
                <c:ptCount val="1"/>
                <c:pt idx="0">
                  <c:v>Not disabled</c:v>
                </c:pt>
              </c:strCache>
            </c:strRef>
          </c:tx>
          <c:spPr>
            <a:solidFill>
              <a:schemeClr val="accent2"/>
            </a:solidFill>
            <a:ln>
              <a:noFill/>
            </a:ln>
            <a:effectLst/>
          </c:spPr>
          <c:invertIfNegative val="0"/>
          <c:cat>
            <c:numRef>
              <c:f>Disability!$A$5:$A$9</c:f>
              <c:numCache>
                <c:formatCode>General</c:formatCode>
                <c:ptCount val="5"/>
                <c:pt idx="0">
                  <c:v>2018</c:v>
                </c:pt>
                <c:pt idx="1">
                  <c:v>2019</c:v>
                </c:pt>
                <c:pt idx="2">
                  <c:v>2020</c:v>
                </c:pt>
                <c:pt idx="3">
                  <c:v>2021</c:v>
                </c:pt>
                <c:pt idx="4">
                  <c:v>2022</c:v>
                </c:pt>
              </c:numCache>
            </c:numRef>
          </c:cat>
          <c:val>
            <c:numRef>
              <c:f>Disability!$C$5:$C$9</c:f>
              <c:numCache>
                <c:formatCode>0.0%</c:formatCode>
                <c:ptCount val="5"/>
                <c:pt idx="0">
                  <c:v>0.96499999999999997</c:v>
                </c:pt>
                <c:pt idx="1">
                  <c:v>0.95499999999999996</c:v>
                </c:pt>
                <c:pt idx="2">
                  <c:v>0.95399999999999996</c:v>
                </c:pt>
                <c:pt idx="3">
                  <c:v>0.93899999999999995</c:v>
                </c:pt>
                <c:pt idx="4">
                  <c:v>0.93100000000000005</c:v>
                </c:pt>
              </c:numCache>
            </c:numRef>
          </c:val>
          <c:extLst>
            <c:ext xmlns:c16="http://schemas.microsoft.com/office/drawing/2014/chart" uri="{C3380CC4-5D6E-409C-BE32-E72D297353CC}">
              <c16:uniqueId val="{00000001-D000-4168-80C7-2198C655D158}"/>
            </c:ext>
          </c:extLst>
        </c:ser>
        <c:ser>
          <c:idx val="2"/>
          <c:order val="2"/>
          <c:tx>
            <c:strRef>
              <c:f>Disability!$D$4</c:f>
              <c:strCache>
                <c:ptCount val="1"/>
                <c:pt idx="0">
                  <c:v>Unknown</c:v>
                </c:pt>
              </c:strCache>
            </c:strRef>
          </c:tx>
          <c:spPr>
            <a:solidFill>
              <a:schemeClr val="accent3"/>
            </a:solidFill>
            <a:ln>
              <a:noFill/>
            </a:ln>
            <a:effectLst/>
          </c:spPr>
          <c:invertIfNegative val="0"/>
          <c:cat>
            <c:numRef>
              <c:f>Disability!$A$5:$A$9</c:f>
              <c:numCache>
                <c:formatCode>General</c:formatCode>
                <c:ptCount val="5"/>
                <c:pt idx="0">
                  <c:v>2018</c:v>
                </c:pt>
                <c:pt idx="1">
                  <c:v>2019</c:v>
                </c:pt>
                <c:pt idx="2">
                  <c:v>2020</c:v>
                </c:pt>
                <c:pt idx="3">
                  <c:v>2021</c:v>
                </c:pt>
                <c:pt idx="4">
                  <c:v>2022</c:v>
                </c:pt>
              </c:numCache>
            </c:numRef>
          </c:cat>
          <c:val>
            <c:numRef>
              <c:f>Disability!$D$5:$D$9</c:f>
              <c:numCache>
                <c:formatCode>0.0%</c:formatCode>
                <c:ptCount val="5"/>
                <c:pt idx="0">
                  <c:v>8.0000000000000002E-3</c:v>
                </c:pt>
                <c:pt idx="1">
                  <c:v>8.9999999999999993E-3</c:v>
                </c:pt>
                <c:pt idx="2">
                  <c:v>5.0000000000000001E-3</c:v>
                </c:pt>
                <c:pt idx="3">
                  <c:v>1.4999999999999999E-2</c:v>
                </c:pt>
                <c:pt idx="4">
                  <c:v>0.02</c:v>
                </c:pt>
              </c:numCache>
            </c:numRef>
          </c:val>
          <c:extLst>
            <c:ext xmlns:c16="http://schemas.microsoft.com/office/drawing/2014/chart" uri="{C3380CC4-5D6E-409C-BE32-E72D297353CC}">
              <c16:uniqueId val="{00000002-D000-4168-80C7-2198C655D158}"/>
            </c:ext>
          </c:extLst>
        </c:ser>
        <c:dLbls>
          <c:showLegendKey val="0"/>
          <c:showVal val="0"/>
          <c:showCatName val="0"/>
          <c:showSerName val="0"/>
          <c:showPercent val="0"/>
          <c:showBubbleSize val="0"/>
        </c:dLbls>
        <c:gapWidth val="150"/>
        <c:overlap val="100"/>
        <c:axId val="794609496"/>
        <c:axId val="794609824"/>
      </c:barChart>
      <c:catAx>
        <c:axId val="794609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609824"/>
        <c:crosses val="autoZero"/>
        <c:auto val="1"/>
        <c:lblAlgn val="ctr"/>
        <c:lblOffset val="100"/>
        <c:noMultiLvlLbl val="0"/>
      </c:catAx>
      <c:valAx>
        <c:axId val="794609824"/>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794609496"/>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Corbel" panose="020B0503020204020204" pitchFamily="34" charset="0"/>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'College - Disability and gr com'!$B$13</c:f>
              <c:strCache>
                <c:ptCount val="1"/>
                <c:pt idx="0">
                  <c:v>2022</c:v>
                </c:pt>
              </c:strCache>
            </c:strRef>
          </c:tx>
          <c:spPr>
            <a:solidFill>
              <a:schemeClr val="accent1"/>
            </a:solidFill>
            <a:ln>
              <a:noFill/>
            </a:ln>
            <a:effectLst/>
          </c:spPr>
          <c:invertIfNegative val="0"/>
          <c:cat>
            <c:strRef>
              <c:f>'College - Disability and gr com'!$A$14:$A$17</c:f>
              <c:strCache>
                <c:ptCount val="4"/>
                <c:pt idx="0">
                  <c:v>Grades 9, 10 and Professor (524)*</c:v>
                </c:pt>
                <c:pt idx="1">
                  <c:v>Grades 7 and 8 (693)</c:v>
                </c:pt>
                <c:pt idx="2">
                  <c:v>Grades 5 and 6 (412)</c:v>
                </c:pt>
                <c:pt idx="3">
                  <c:v>Grades 2, 3 and 4 (136)</c:v>
                </c:pt>
              </c:strCache>
            </c:strRef>
          </c:cat>
          <c:val>
            <c:numRef>
              <c:f>'College - Disability and gr com'!$B$14:$B$17</c:f>
              <c:numCache>
                <c:formatCode>0.0%</c:formatCode>
                <c:ptCount val="4"/>
                <c:pt idx="0">
                  <c:v>4.3999999999999997E-2</c:v>
                </c:pt>
                <c:pt idx="1">
                  <c:v>5.8999999999999997E-2</c:v>
                </c:pt>
                <c:pt idx="2">
                  <c:v>2.9000000000000001E-2</c:v>
                </c:pt>
                <c:pt idx="3">
                  <c:v>7.3999999999999996E-2</c:v>
                </c:pt>
              </c:numCache>
            </c:numRef>
          </c:val>
          <c:extLst>
            <c:ext xmlns:c16="http://schemas.microsoft.com/office/drawing/2014/chart" uri="{C3380CC4-5D6E-409C-BE32-E72D297353CC}">
              <c16:uniqueId val="{00000000-912E-4514-87E4-140CEB4E9DE2}"/>
            </c:ext>
          </c:extLst>
        </c:ser>
        <c:ser>
          <c:idx val="1"/>
          <c:order val="1"/>
          <c:tx>
            <c:strRef>
              <c:f>'College - Disability and gr com'!$C$13</c:f>
              <c:strCache>
                <c:ptCount val="1"/>
                <c:pt idx="0">
                  <c:v>2021</c:v>
                </c:pt>
              </c:strCache>
            </c:strRef>
          </c:tx>
          <c:spPr>
            <a:solidFill>
              <a:schemeClr val="accent2"/>
            </a:solidFill>
            <a:ln>
              <a:noFill/>
            </a:ln>
            <a:effectLst/>
          </c:spPr>
          <c:invertIfNegative val="0"/>
          <c:cat>
            <c:strRef>
              <c:f>'College - Disability and gr com'!$A$14:$A$17</c:f>
              <c:strCache>
                <c:ptCount val="4"/>
                <c:pt idx="0">
                  <c:v>Grades 9, 10 and Professor (524)*</c:v>
                </c:pt>
                <c:pt idx="1">
                  <c:v>Grades 7 and 8 (693)</c:v>
                </c:pt>
                <c:pt idx="2">
                  <c:v>Grades 5 and 6 (412)</c:v>
                </c:pt>
                <c:pt idx="3">
                  <c:v>Grades 2, 3 and 4 (136)</c:v>
                </c:pt>
              </c:strCache>
            </c:strRef>
          </c:cat>
          <c:val>
            <c:numRef>
              <c:f>'College - Disability and gr com'!$C$14:$C$17</c:f>
              <c:numCache>
                <c:formatCode>0.0%</c:formatCode>
                <c:ptCount val="4"/>
                <c:pt idx="0">
                  <c:v>3.5000000000000003E-2</c:v>
                </c:pt>
                <c:pt idx="1">
                  <c:v>4.2999999999999997E-2</c:v>
                </c:pt>
                <c:pt idx="2">
                  <c:v>5.7000000000000002E-2</c:v>
                </c:pt>
                <c:pt idx="3">
                  <c:v>7.0999999999999994E-2</c:v>
                </c:pt>
              </c:numCache>
            </c:numRef>
          </c:val>
          <c:extLst>
            <c:ext xmlns:c16="http://schemas.microsoft.com/office/drawing/2014/chart" uri="{C3380CC4-5D6E-409C-BE32-E72D297353CC}">
              <c16:uniqueId val="{00000001-912E-4514-87E4-140CEB4E9DE2}"/>
            </c:ext>
          </c:extLst>
        </c:ser>
        <c:dLbls>
          <c:showLegendKey val="0"/>
          <c:showVal val="0"/>
          <c:showCatName val="0"/>
          <c:showSerName val="0"/>
          <c:showPercent val="0"/>
          <c:showBubbleSize val="0"/>
        </c:dLbls>
        <c:gapWidth val="219"/>
        <c:overlap val="-27"/>
        <c:axId val="724935840"/>
        <c:axId val="724941088"/>
      </c:barChart>
      <c:catAx>
        <c:axId val="72493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941088"/>
        <c:crosses val="autoZero"/>
        <c:auto val="1"/>
        <c:lblAlgn val="ctr"/>
        <c:lblOffset val="100"/>
        <c:noMultiLvlLbl val="0"/>
      </c:catAx>
      <c:valAx>
        <c:axId val="724941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935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Corbel" panose="020B0503020204020204" pitchFamily="34" charset="0"/>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'LGBT+'!$B$3</c:f>
              <c:strCache>
                <c:ptCount val="1"/>
                <c:pt idx="0">
                  <c:v>LGBT+</c:v>
                </c:pt>
              </c:strCache>
            </c:strRef>
          </c:tx>
          <c:spPr>
            <a:solidFill>
              <a:schemeClr val="accent1"/>
            </a:solidFill>
            <a:ln>
              <a:noFill/>
            </a:ln>
            <a:effectLst/>
          </c:spPr>
          <c:invertIfNegative val="0"/>
          <c:cat>
            <c:numRef>
              <c:f>'LGBT+'!$A$4:$A$8</c:f>
              <c:numCache>
                <c:formatCode>General</c:formatCode>
                <c:ptCount val="5"/>
                <c:pt idx="0">
                  <c:v>2018</c:v>
                </c:pt>
                <c:pt idx="1">
                  <c:v>2019</c:v>
                </c:pt>
                <c:pt idx="2">
                  <c:v>2020</c:v>
                </c:pt>
                <c:pt idx="3">
                  <c:v>2021</c:v>
                </c:pt>
                <c:pt idx="4">
                  <c:v>2022</c:v>
                </c:pt>
              </c:numCache>
            </c:numRef>
          </c:cat>
          <c:val>
            <c:numRef>
              <c:f>'LGBT+'!$B$4:$B$8</c:f>
              <c:numCache>
                <c:formatCode>0.0%</c:formatCode>
                <c:ptCount val="5"/>
                <c:pt idx="0">
                  <c:v>4.2999999999999997E-2</c:v>
                </c:pt>
                <c:pt idx="1">
                  <c:v>5.6000000000000001E-2</c:v>
                </c:pt>
                <c:pt idx="2">
                  <c:v>6.2E-2</c:v>
                </c:pt>
                <c:pt idx="3">
                  <c:v>5.6000000000000001E-2</c:v>
                </c:pt>
                <c:pt idx="4">
                  <c:v>6.5000000000000002E-2</c:v>
                </c:pt>
              </c:numCache>
            </c:numRef>
          </c:val>
          <c:extLst>
            <c:ext xmlns:c16="http://schemas.microsoft.com/office/drawing/2014/chart" uri="{C3380CC4-5D6E-409C-BE32-E72D297353CC}">
              <c16:uniqueId val="{00000000-A01E-4E12-BAA8-5CBEBA0F7EB1}"/>
            </c:ext>
          </c:extLst>
        </c:ser>
        <c:ser>
          <c:idx val="1"/>
          <c:order val="1"/>
          <c:tx>
            <c:strRef>
              <c:f>'LGBT+'!$C$3</c:f>
              <c:strCache>
                <c:ptCount val="1"/>
                <c:pt idx="0">
                  <c:v>Heterosexual</c:v>
                </c:pt>
              </c:strCache>
            </c:strRef>
          </c:tx>
          <c:spPr>
            <a:solidFill>
              <a:schemeClr val="accent2"/>
            </a:solidFill>
            <a:ln>
              <a:noFill/>
            </a:ln>
            <a:effectLst/>
          </c:spPr>
          <c:invertIfNegative val="0"/>
          <c:cat>
            <c:numRef>
              <c:f>'LGBT+'!$A$4:$A$8</c:f>
              <c:numCache>
                <c:formatCode>General</c:formatCode>
                <c:ptCount val="5"/>
                <c:pt idx="0">
                  <c:v>2018</c:v>
                </c:pt>
                <c:pt idx="1">
                  <c:v>2019</c:v>
                </c:pt>
                <c:pt idx="2">
                  <c:v>2020</c:v>
                </c:pt>
                <c:pt idx="3">
                  <c:v>2021</c:v>
                </c:pt>
                <c:pt idx="4">
                  <c:v>2022</c:v>
                </c:pt>
              </c:numCache>
            </c:numRef>
          </c:cat>
          <c:val>
            <c:numRef>
              <c:f>'LGBT+'!$C$4:$C$8</c:f>
              <c:numCache>
                <c:formatCode>0.0%</c:formatCode>
                <c:ptCount val="5"/>
                <c:pt idx="0">
                  <c:v>0.54900000000000004</c:v>
                </c:pt>
                <c:pt idx="1">
                  <c:v>0.60599999999999998</c:v>
                </c:pt>
                <c:pt idx="2">
                  <c:v>0.624</c:v>
                </c:pt>
                <c:pt idx="3">
                  <c:v>0.63500000000000001</c:v>
                </c:pt>
                <c:pt idx="4">
                  <c:v>0.65700000000000003</c:v>
                </c:pt>
              </c:numCache>
            </c:numRef>
          </c:val>
          <c:extLst>
            <c:ext xmlns:c16="http://schemas.microsoft.com/office/drawing/2014/chart" uri="{C3380CC4-5D6E-409C-BE32-E72D297353CC}">
              <c16:uniqueId val="{00000001-A01E-4E12-BAA8-5CBEBA0F7EB1}"/>
            </c:ext>
          </c:extLst>
        </c:ser>
        <c:ser>
          <c:idx val="2"/>
          <c:order val="2"/>
          <c:tx>
            <c:strRef>
              <c:f>'LGBT+'!$D$3</c:f>
              <c:strCache>
                <c:ptCount val="1"/>
                <c:pt idx="0">
                  <c:v>Prefer not to say</c:v>
                </c:pt>
              </c:strCache>
            </c:strRef>
          </c:tx>
          <c:spPr>
            <a:solidFill>
              <a:schemeClr val="accent3"/>
            </a:solidFill>
            <a:ln>
              <a:noFill/>
            </a:ln>
            <a:effectLst/>
          </c:spPr>
          <c:invertIfNegative val="0"/>
          <c:cat>
            <c:numRef>
              <c:f>'LGBT+'!$A$4:$A$8</c:f>
              <c:numCache>
                <c:formatCode>General</c:formatCode>
                <c:ptCount val="5"/>
                <c:pt idx="0">
                  <c:v>2018</c:v>
                </c:pt>
                <c:pt idx="1">
                  <c:v>2019</c:v>
                </c:pt>
                <c:pt idx="2">
                  <c:v>2020</c:v>
                </c:pt>
                <c:pt idx="3">
                  <c:v>2021</c:v>
                </c:pt>
                <c:pt idx="4">
                  <c:v>2022</c:v>
                </c:pt>
              </c:numCache>
            </c:numRef>
          </c:cat>
          <c:val>
            <c:numRef>
              <c:f>'LGBT+'!$D$4:$D$8</c:f>
              <c:numCache>
                <c:formatCode>0.0%</c:formatCode>
                <c:ptCount val="5"/>
                <c:pt idx="0">
                  <c:v>0.40799999999999997</c:v>
                </c:pt>
                <c:pt idx="1">
                  <c:v>0.33800000000000002</c:v>
                </c:pt>
                <c:pt idx="2">
                  <c:v>0.314</c:v>
                </c:pt>
                <c:pt idx="3">
                  <c:v>0.309</c:v>
                </c:pt>
                <c:pt idx="4">
                  <c:v>0.27800000000000002</c:v>
                </c:pt>
              </c:numCache>
            </c:numRef>
          </c:val>
          <c:extLst>
            <c:ext xmlns:c16="http://schemas.microsoft.com/office/drawing/2014/chart" uri="{C3380CC4-5D6E-409C-BE32-E72D297353CC}">
              <c16:uniqueId val="{00000002-A01E-4E12-BAA8-5CBEBA0F7EB1}"/>
            </c:ext>
          </c:extLst>
        </c:ser>
        <c:dLbls>
          <c:showLegendKey val="0"/>
          <c:showVal val="0"/>
          <c:showCatName val="0"/>
          <c:showSerName val="0"/>
          <c:showPercent val="0"/>
          <c:showBubbleSize val="0"/>
        </c:dLbls>
        <c:gapWidth val="150"/>
        <c:overlap val="100"/>
        <c:axId val="669320936"/>
        <c:axId val="669317984"/>
      </c:barChart>
      <c:catAx>
        <c:axId val="669320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Corbel" panose="020B0503020204020204" pitchFamily="34" charset="0"/>
                <a:ea typeface="+mn-ea"/>
                <a:cs typeface="+mn-cs"/>
              </a:defRPr>
            </a:pPr>
            <a:endParaRPr lang="en-US"/>
          </a:p>
        </c:txPr>
        <c:crossAx val="669317984"/>
        <c:crosses val="autoZero"/>
        <c:auto val="1"/>
        <c:lblAlgn val="ctr"/>
        <c:lblOffset val="100"/>
        <c:noMultiLvlLbl val="0"/>
      </c:catAx>
      <c:valAx>
        <c:axId val="669317984"/>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669320936"/>
        <c:crosses val="autoZero"/>
        <c:crossBetween val="between"/>
        <c:maj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Corbel" panose="020B0503020204020204" pitchFamily="34" charset="0"/>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latin typeface="Corbel" panose="020B0503020204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'College - LGBT and grade compar'!$B$2</c:f>
              <c:strCache>
                <c:ptCount val="1"/>
                <c:pt idx="0">
                  <c:v>2022</c:v>
                </c:pt>
              </c:strCache>
            </c:strRef>
          </c:tx>
          <c:spPr>
            <a:solidFill>
              <a:schemeClr val="accent1"/>
            </a:solidFill>
            <a:ln>
              <a:noFill/>
            </a:ln>
            <a:effectLst/>
          </c:spPr>
          <c:invertIfNegative val="0"/>
          <c:cat>
            <c:strRef>
              <c:f>'College - LGBT and grade compar'!$A$3:$A$5</c:f>
              <c:strCache>
                <c:ptCount val="3"/>
                <c:pt idx="0">
                  <c:v>Grades 9, 10 and Professor (524)</c:v>
                </c:pt>
                <c:pt idx="1">
                  <c:v>Grades 7 and 8 (693)</c:v>
                </c:pt>
                <c:pt idx="2">
                  <c:v>Grades 5 and 6 (412)</c:v>
                </c:pt>
              </c:strCache>
            </c:strRef>
          </c:cat>
          <c:val>
            <c:numRef>
              <c:f>'College - LGBT and grade compar'!$B$3:$B$5</c:f>
              <c:numCache>
                <c:formatCode>0.0%</c:formatCode>
                <c:ptCount val="3"/>
                <c:pt idx="0">
                  <c:v>5.8999999999999997E-2</c:v>
                </c:pt>
                <c:pt idx="1">
                  <c:v>7.4999999999999997E-2</c:v>
                </c:pt>
                <c:pt idx="2">
                  <c:v>5.6000000000000001E-2</c:v>
                </c:pt>
              </c:numCache>
            </c:numRef>
          </c:val>
          <c:extLst>
            <c:ext xmlns:c16="http://schemas.microsoft.com/office/drawing/2014/chart" uri="{C3380CC4-5D6E-409C-BE32-E72D297353CC}">
              <c16:uniqueId val="{00000000-95E6-4938-994E-1A937BD2D3AD}"/>
            </c:ext>
          </c:extLst>
        </c:ser>
        <c:ser>
          <c:idx val="1"/>
          <c:order val="1"/>
          <c:tx>
            <c:strRef>
              <c:f>'College - LGBT and grade compar'!$C$2</c:f>
              <c:strCache>
                <c:ptCount val="1"/>
                <c:pt idx="0">
                  <c:v>2021</c:v>
                </c:pt>
              </c:strCache>
            </c:strRef>
          </c:tx>
          <c:spPr>
            <a:solidFill>
              <a:schemeClr val="accent2"/>
            </a:solidFill>
            <a:ln>
              <a:noFill/>
            </a:ln>
            <a:effectLst/>
          </c:spPr>
          <c:invertIfNegative val="0"/>
          <c:cat>
            <c:strRef>
              <c:f>'College - LGBT and grade compar'!$A$3:$A$5</c:f>
              <c:strCache>
                <c:ptCount val="3"/>
                <c:pt idx="0">
                  <c:v>Grades 9, 10 and Professor (524)</c:v>
                </c:pt>
                <c:pt idx="1">
                  <c:v>Grades 7 and 8 (693)</c:v>
                </c:pt>
                <c:pt idx="2">
                  <c:v>Grades 5 and 6 (412)</c:v>
                </c:pt>
              </c:strCache>
            </c:strRef>
          </c:cat>
          <c:val>
            <c:numRef>
              <c:f>'College - LGBT and grade compar'!$C$3:$C$5</c:f>
              <c:numCache>
                <c:formatCode>0.0%</c:formatCode>
                <c:ptCount val="3"/>
                <c:pt idx="0">
                  <c:v>5.1999999999999998E-2</c:v>
                </c:pt>
                <c:pt idx="1">
                  <c:v>6.4000000000000001E-2</c:v>
                </c:pt>
                <c:pt idx="2">
                  <c:v>4.7E-2</c:v>
                </c:pt>
              </c:numCache>
            </c:numRef>
          </c:val>
          <c:extLst>
            <c:ext xmlns:c16="http://schemas.microsoft.com/office/drawing/2014/chart" uri="{C3380CC4-5D6E-409C-BE32-E72D297353CC}">
              <c16:uniqueId val="{00000001-95E6-4938-994E-1A937BD2D3AD}"/>
            </c:ext>
          </c:extLst>
        </c:ser>
        <c:dLbls>
          <c:showLegendKey val="0"/>
          <c:showVal val="0"/>
          <c:showCatName val="0"/>
          <c:showSerName val="0"/>
          <c:showPercent val="0"/>
          <c:showBubbleSize val="0"/>
        </c:dLbls>
        <c:gapWidth val="219"/>
        <c:overlap val="-27"/>
        <c:axId val="673713920"/>
        <c:axId val="392470176"/>
      </c:barChart>
      <c:catAx>
        <c:axId val="67371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470176"/>
        <c:crosses val="autoZero"/>
        <c:auto val="1"/>
        <c:lblAlgn val="ctr"/>
        <c:lblOffset val="100"/>
        <c:noMultiLvlLbl val="0"/>
      </c:catAx>
      <c:valAx>
        <c:axId val="392470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713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859</TotalTime>
  <Pages>24</Pages>
  <Words>6355</Words>
  <Characters>36226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42497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Finnis, Katerina</dc:creator>
  <cp:keywords/>
  <dc:description/>
  <cp:lastModifiedBy>Finnis, Katerina</cp:lastModifiedBy>
  <cp:revision>309</cp:revision>
  <dcterms:created xsi:type="dcterms:W3CDTF">2023-05-11T21:54:00Z</dcterms:created>
  <dcterms:modified xsi:type="dcterms:W3CDTF">2023-06-01T08:51:00Z</dcterms:modified>
</cp:coreProperties>
</file>