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62F18" w14:textId="4FB672D8" w:rsidR="00F11F45" w:rsidRPr="00464090" w:rsidRDefault="00F11F45" w:rsidP="00F11F45">
      <w:pPr>
        <w:pStyle w:val="Heading2"/>
        <w:rPr>
          <w:rFonts w:cs="Arial"/>
        </w:rPr>
      </w:pPr>
      <w:bookmarkStart w:id="0" w:name="_Toc505627625"/>
      <w:bookmarkStart w:id="1" w:name="_Toc507331816"/>
      <w:bookmarkStart w:id="2" w:name="_Toc505627621"/>
      <w:r w:rsidRPr="00464090">
        <w:rPr>
          <w:rFonts w:cs="Arial"/>
        </w:rPr>
        <w:t xml:space="preserve">Annex </w:t>
      </w:r>
      <w:r w:rsidR="00216FAD">
        <w:rPr>
          <w:rFonts w:cs="Arial"/>
        </w:rPr>
        <w:t>D</w:t>
      </w:r>
      <w:r w:rsidRPr="00464090">
        <w:rPr>
          <w:rFonts w:cs="Arial"/>
        </w:rPr>
        <w:t>: Template for a student protection plan</w:t>
      </w:r>
      <w:bookmarkEnd w:id="0"/>
      <w:bookmarkEnd w:id="1"/>
    </w:p>
    <w:tbl>
      <w:tblPr>
        <w:tblStyle w:val="TableGrid"/>
        <w:tblW w:w="10226" w:type="dxa"/>
        <w:tblLook w:val="04A0" w:firstRow="1" w:lastRow="0" w:firstColumn="1" w:lastColumn="0" w:noHBand="0" w:noVBand="1"/>
      </w:tblPr>
      <w:tblGrid>
        <w:gridCol w:w="10226"/>
      </w:tblGrid>
      <w:tr w:rsidR="00F11F45" w:rsidRPr="00464090" w14:paraId="495BE5AE" w14:textId="77777777" w:rsidTr="00507045">
        <w:trPr>
          <w:cnfStyle w:val="100000000000" w:firstRow="1" w:lastRow="0" w:firstColumn="0" w:lastColumn="0" w:oddVBand="0" w:evenVBand="0" w:oddHBand="0" w:evenHBand="0" w:firstRowFirstColumn="0" w:firstRowLastColumn="0" w:lastRowFirstColumn="0" w:lastRowLastColumn="0"/>
          <w:tblHeader w:val="0"/>
        </w:trPr>
        <w:tc>
          <w:tcPr>
            <w:tcW w:w="10226" w:type="dxa"/>
          </w:tcPr>
          <w:p w14:paraId="2F8988DB" w14:textId="23859696" w:rsidR="00F11F45" w:rsidRDefault="00F11F45" w:rsidP="00D3665B">
            <w:pPr>
              <w:rPr>
                <w:rFonts w:cs="Arial"/>
              </w:rPr>
            </w:pPr>
            <w:r w:rsidRPr="00464090">
              <w:rPr>
                <w:rFonts w:cs="Arial"/>
              </w:rPr>
              <w:t>Provider</w:t>
            </w:r>
            <w:r>
              <w:rPr>
                <w:rFonts w:cs="Arial"/>
              </w:rPr>
              <w:t>’</w:t>
            </w:r>
            <w:r w:rsidRPr="00464090">
              <w:rPr>
                <w:rFonts w:cs="Arial"/>
              </w:rPr>
              <w:t>s name</w:t>
            </w:r>
            <w:r>
              <w:rPr>
                <w:rFonts w:cs="Arial"/>
              </w:rPr>
              <w:t>:</w:t>
            </w:r>
            <w:r w:rsidR="004E1605">
              <w:rPr>
                <w:rFonts w:cs="Arial"/>
              </w:rPr>
              <w:t xml:space="preserve"> Royal Holloway, University of London</w:t>
            </w:r>
          </w:p>
          <w:p w14:paraId="2923CD81" w14:textId="77777777" w:rsidR="00E46E7B" w:rsidRDefault="00E46E7B" w:rsidP="00D3665B">
            <w:pPr>
              <w:rPr>
                <w:rFonts w:cs="Arial"/>
              </w:rPr>
            </w:pPr>
          </w:p>
          <w:p w14:paraId="4A540AEE" w14:textId="2BBFDC50" w:rsidR="00F11F45" w:rsidRDefault="00F11F45" w:rsidP="00D3665B">
            <w:pPr>
              <w:rPr>
                <w:rFonts w:cs="Arial"/>
              </w:rPr>
            </w:pPr>
            <w:r>
              <w:rPr>
                <w:rFonts w:cs="Arial"/>
              </w:rPr>
              <w:t>Provider’s</w:t>
            </w:r>
            <w:r w:rsidRPr="00464090">
              <w:rPr>
                <w:rFonts w:cs="Arial"/>
              </w:rPr>
              <w:t xml:space="preserve"> UKPRN</w:t>
            </w:r>
            <w:r>
              <w:rPr>
                <w:rFonts w:cs="Arial"/>
              </w:rPr>
              <w:t>:</w:t>
            </w:r>
            <w:r w:rsidR="004E1605">
              <w:rPr>
                <w:rFonts w:cs="Arial"/>
              </w:rPr>
              <w:t xml:space="preserve"> 10005553</w:t>
            </w:r>
          </w:p>
          <w:p w14:paraId="5D8F8755" w14:textId="77777777" w:rsidR="00E46E7B" w:rsidRPr="00464090" w:rsidRDefault="00E46E7B" w:rsidP="00D3665B">
            <w:pPr>
              <w:rPr>
                <w:rFonts w:cs="Arial"/>
              </w:rPr>
            </w:pPr>
          </w:p>
          <w:p w14:paraId="15343058" w14:textId="1D8D17AA" w:rsidR="00F11F45" w:rsidRDefault="00F11F45" w:rsidP="00D3665B">
            <w:pPr>
              <w:rPr>
                <w:rFonts w:cs="Arial"/>
              </w:rPr>
            </w:pPr>
            <w:r w:rsidRPr="00464090">
              <w:rPr>
                <w:rFonts w:cs="Arial"/>
              </w:rPr>
              <w:t>Legal address</w:t>
            </w:r>
            <w:r>
              <w:rPr>
                <w:rFonts w:cs="Arial"/>
              </w:rPr>
              <w:t>:</w:t>
            </w:r>
            <w:r w:rsidR="004E1605">
              <w:rPr>
                <w:rFonts w:cs="Arial"/>
              </w:rPr>
              <w:t xml:space="preserve"> Royal Holloway, University of London, Egham, Surrey, TW20 0EX.</w:t>
            </w:r>
          </w:p>
          <w:p w14:paraId="6647ADEE" w14:textId="77777777" w:rsidR="00E46E7B" w:rsidRPr="00464090" w:rsidRDefault="00E46E7B" w:rsidP="00D3665B">
            <w:pPr>
              <w:rPr>
                <w:rFonts w:cs="Arial"/>
              </w:rPr>
            </w:pPr>
          </w:p>
          <w:p w14:paraId="0E2F5851" w14:textId="56EEADC4" w:rsidR="00F11F45" w:rsidRPr="00464090" w:rsidRDefault="00F11F45" w:rsidP="00216FAD">
            <w:pPr>
              <w:rPr>
                <w:rFonts w:cs="Arial"/>
              </w:rPr>
            </w:pPr>
            <w:r w:rsidRPr="00464090">
              <w:rPr>
                <w:rFonts w:cs="Arial"/>
              </w:rPr>
              <w:t>Contact point for enquiries about</w:t>
            </w:r>
            <w:r w:rsidR="00216FAD">
              <w:rPr>
                <w:rFonts w:cs="Arial"/>
              </w:rPr>
              <w:t xml:space="preserve"> this student protection plan</w:t>
            </w:r>
            <w:r>
              <w:rPr>
                <w:rFonts w:cs="Arial"/>
              </w:rPr>
              <w:t>:</w:t>
            </w:r>
            <w:r w:rsidR="004E1605">
              <w:rPr>
                <w:rFonts w:cs="Arial"/>
              </w:rPr>
              <w:t xml:space="preserve"> Robert Hall, Director of Academic Services</w:t>
            </w:r>
          </w:p>
        </w:tc>
      </w:tr>
      <w:tr w:rsidR="00F11F45" w:rsidRPr="00464090" w14:paraId="0BA14A03" w14:textId="77777777" w:rsidTr="009E4D4B">
        <w:trPr>
          <w:cantSplit w:val="0"/>
        </w:trPr>
        <w:tc>
          <w:tcPr>
            <w:tcW w:w="10226" w:type="dxa"/>
            <w:tcBorders>
              <w:bottom w:val="single" w:sz="4" w:space="0" w:color="auto"/>
            </w:tcBorders>
          </w:tcPr>
          <w:p w14:paraId="65871E46" w14:textId="47967A94" w:rsidR="00F11F45" w:rsidRPr="00464090" w:rsidRDefault="00F11F45" w:rsidP="00FD0FA4">
            <w:pPr>
              <w:rPr>
                <w:rFonts w:cs="Arial"/>
                <w:b/>
                <w:sz w:val="28"/>
                <w:szCs w:val="28"/>
              </w:rPr>
            </w:pPr>
            <w:r w:rsidRPr="00464090">
              <w:rPr>
                <w:rFonts w:cs="Arial"/>
                <w:b/>
                <w:sz w:val="28"/>
                <w:szCs w:val="28"/>
              </w:rPr>
              <w:t>Student protection plan for the period [</w:t>
            </w:r>
            <w:r w:rsidR="00FD0FA4">
              <w:rPr>
                <w:rFonts w:cs="Arial"/>
                <w:b/>
                <w:sz w:val="28"/>
                <w:szCs w:val="28"/>
              </w:rPr>
              <w:t>2018/19</w:t>
            </w:r>
            <w:r w:rsidRPr="00464090">
              <w:rPr>
                <w:rFonts w:cs="Arial"/>
                <w:b/>
                <w:sz w:val="28"/>
                <w:szCs w:val="28"/>
              </w:rPr>
              <w:t>]</w:t>
            </w:r>
          </w:p>
        </w:tc>
      </w:tr>
      <w:tr w:rsidR="00F11F45" w:rsidRPr="00464090" w14:paraId="4BE6EA76" w14:textId="77777777" w:rsidTr="009E4D4B">
        <w:trPr>
          <w:cantSplit w:val="0"/>
        </w:trPr>
        <w:tc>
          <w:tcPr>
            <w:tcW w:w="10226" w:type="dxa"/>
            <w:tcBorders>
              <w:bottom w:val="nil"/>
            </w:tcBorders>
          </w:tcPr>
          <w:p w14:paraId="45A0FBC1" w14:textId="0A2AE0C0" w:rsidR="00F11F45" w:rsidRPr="00464090" w:rsidRDefault="00F11F45" w:rsidP="00216FAD">
            <w:pPr>
              <w:rPr>
                <w:rFonts w:cs="Arial"/>
              </w:rPr>
            </w:pPr>
            <w:r w:rsidRPr="00464090">
              <w:rPr>
                <w:rFonts w:cs="Arial"/>
                <w:b/>
                <w:bCs/>
              </w:rPr>
              <w:t xml:space="preserve">1. An assessment of the range of risks to the </w:t>
            </w:r>
            <w:r w:rsidR="00216FAD">
              <w:rPr>
                <w:rFonts w:cs="Arial"/>
                <w:b/>
                <w:bCs/>
              </w:rPr>
              <w:t>continuation</w:t>
            </w:r>
            <w:r w:rsidR="00216FAD" w:rsidRPr="00464090">
              <w:rPr>
                <w:rFonts w:cs="Arial"/>
                <w:b/>
                <w:bCs/>
              </w:rPr>
              <w:t xml:space="preserve"> </w:t>
            </w:r>
            <w:r w:rsidRPr="00464090">
              <w:rPr>
                <w:rFonts w:cs="Arial"/>
                <w:b/>
                <w:bCs/>
              </w:rPr>
              <w:t>of study for your students,</w:t>
            </w:r>
            <w:r w:rsidRPr="00464090">
              <w:rPr>
                <w:rFonts w:cs="Arial"/>
              </w:rPr>
              <w:t xml:space="preserve"> </w:t>
            </w:r>
            <w:r>
              <w:rPr>
                <w:rFonts w:cs="Arial"/>
                <w:b/>
                <w:bCs/>
              </w:rPr>
              <w:t>how tho</w:t>
            </w:r>
            <w:r w:rsidRPr="00464090">
              <w:rPr>
                <w:rFonts w:cs="Arial"/>
                <w:b/>
                <w:bCs/>
              </w:rPr>
              <w:t>se risks may differ based on your students</w:t>
            </w:r>
            <w:r>
              <w:rPr>
                <w:rFonts w:cs="Arial"/>
                <w:b/>
                <w:bCs/>
              </w:rPr>
              <w:t>’</w:t>
            </w:r>
            <w:r w:rsidRPr="00464090">
              <w:rPr>
                <w:rFonts w:cs="Arial"/>
                <w:b/>
                <w:bCs/>
              </w:rPr>
              <w:t xml:space="preserve"> needs, char</w:t>
            </w:r>
            <w:r>
              <w:rPr>
                <w:rFonts w:cs="Arial"/>
                <w:b/>
                <w:bCs/>
              </w:rPr>
              <w:t xml:space="preserve">acteristics and circumstances, </w:t>
            </w:r>
            <w:r w:rsidRPr="00464090">
              <w:rPr>
                <w:rFonts w:cs="Arial"/>
                <w:b/>
                <w:bCs/>
              </w:rPr>
              <w:t>and the likelihood that those risks will crystallise</w:t>
            </w:r>
          </w:p>
        </w:tc>
      </w:tr>
      <w:tr w:rsidR="00F11F45" w:rsidRPr="00D12C7B" w14:paraId="6187D78E" w14:textId="77777777" w:rsidTr="009E4D4B">
        <w:trPr>
          <w:cantSplit w:val="0"/>
        </w:trPr>
        <w:tc>
          <w:tcPr>
            <w:tcW w:w="10226" w:type="dxa"/>
            <w:tcBorders>
              <w:top w:val="nil"/>
              <w:bottom w:val="single" w:sz="4" w:space="0" w:color="auto"/>
            </w:tcBorders>
          </w:tcPr>
          <w:p w14:paraId="7BE071C5" w14:textId="14D3CB5F" w:rsidR="00D75C45" w:rsidRPr="003646FF" w:rsidRDefault="00D75C45" w:rsidP="007B35DF">
            <w:pPr>
              <w:jc w:val="both"/>
              <w:rPr>
                <w:rFonts w:cs="Arial"/>
                <w:i/>
              </w:rPr>
            </w:pPr>
          </w:p>
          <w:p w14:paraId="386C93C6" w14:textId="555C4FAD" w:rsidR="00AA103C" w:rsidRPr="00D12C7B" w:rsidRDefault="00AA103C" w:rsidP="007B35DF">
            <w:pPr>
              <w:jc w:val="both"/>
              <w:rPr>
                <w:rFonts w:cs="Arial"/>
                <w:color w:val="000000" w:themeColor="text1"/>
              </w:rPr>
            </w:pPr>
            <w:r w:rsidRPr="00D12C7B">
              <w:rPr>
                <w:rFonts w:cs="Arial"/>
                <w:color w:val="000000" w:themeColor="text1"/>
              </w:rPr>
              <w:t xml:space="preserve">Royal Holloway, University of London, delivers degree programmes </w:t>
            </w:r>
            <w:r w:rsidR="00B255A8" w:rsidRPr="00D12C7B">
              <w:rPr>
                <w:rFonts w:cs="Arial"/>
                <w:color w:val="000000" w:themeColor="text1"/>
              </w:rPr>
              <w:t xml:space="preserve">which </w:t>
            </w:r>
            <w:r w:rsidRPr="00D12C7B">
              <w:rPr>
                <w:rFonts w:cs="Arial"/>
                <w:color w:val="000000" w:themeColor="text1"/>
              </w:rPr>
              <w:t>lead to awards of the University of London and also diplomas and certificates that lead to awards of Royal Holloway and Bedf</w:t>
            </w:r>
            <w:r w:rsidR="00DF5323" w:rsidRPr="00D12C7B">
              <w:rPr>
                <w:rFonts w:cs="Arial"/>
                <w:color w:val="000000" w:themeColor="text1"/>
              </w:rPr>
              <w:t xml:space="preserve">ord New College. The College </w:t>
            </w:r>
            <w:r w:rsidR="00217CB3" w:rsidRPr="00D12C7B">
              <w:rPr>
                <w:rFonts w:cs="Arial"/>
                <w:color w:val="000000" w:themeColor="text1"/>
              </w:rPr>
              <w:t xml:space="preserve">is </w:t>
            </w:r>
            <w:r w:rsidR="00CA17AF" w:rsidRPr="00D12C7B">
              <w:rPr>
                <w:rFonts w:cs="Arial"/>
                <w:color w:val="000000" w:themeColor="text1"/>
              </w:rPr>
              <w:t xml:space="preserve">a </w:t>
            </w:r>
            <w:r w:rsidR="00217CB3" w:rsidRPr="00D12C7B">
              <w:rPr>
                <w:rFonts w:cs="Arial"/>
                <w:color w:val="000000" w:themeColor="text1"/>
              </w:rPr>
              <w:t xml:space="preserve">UKVI </w:t>
            </w:r>
            <w:r w:rsidR="00D15D2C" w:rsidRPr="00D12C7B">
              <w:rPr>
                <w:rFonts w:cs="Arial"/>
                <w:color w:val="000000" w:themeColor="text1"/>
              </w:rPr>
              <w:t>S</w:t>
            </w:r>
            <w:r w:rsidR="00217CB3" w:rsidRPr="00D12C7B">
              <w:rPr>
                <w:rFonts w:cs="Arial"/>
                <w:color w:val="000000" w:themeColor="text1"/>
              </w:rPr>
              <w:t>pons</w:t>
            </w:r>
            <w:bookmarkStart w:id="3" w:name="_GoBack"/>
            <w:bookmarkEnd w:id="3"/>
            <w:r w:rsidR="00217CB3" w:rsidRPr="00D12C7B">
              <w:rPr>
                <w:rFonts w:cs="Arial"/>
                <w:color w:val="000000" w:themeColor="text1"/>
              </w:rPr>
              <w:t xml:space="preserve">or </w:t>
            </w:r>
            <w:r w:rsidR="00D15D2C" w:rsidRPr="00D12C7B">
              <w:rPr>
                <w:rFonts w:cs="Arial"/>
                <w:color w:val="000000" w:themeColor="text1"/>
              </w:rPr>
              <w:t>L</w:t>
            </w:r>
            <w:r w:rsidR="00217CB3" w:rsidRPr="00D12C7B">
              <w:rPr>
                <w:rFonts w:cs="Arial"/>
                <w:color w:val="000000" w:themeColor="text1"/>
              </w:rPr>
              <w:t xml:space="preserve">icence holder (Tier 2, Tier 4 and Tier 5) </w:t>
            </w:r>
            <w:r w:rsidR="00D15D2C" w:rsidRPr="00D12C7B">
              <w:rPr>
                <w:rFonts w:cs="Arial"/>
                <w:color w:val="000000" w:themeColor="text1"/>
              </w:rPr>
              <w:t>with</w:t>
            </w:r>
            <w:r w:rsidR="00217CB3" w:rsidRPr="00D12C7B">
              <w:rPr>
                <w:rFonts w:cs="Arial"/>
                <w:color w:val="000000" w:themeColor="text1"/>
              </w:rPr>
              <w:t xml:space="preserve"> </w:t>
            </w:r>
            <w:r w:rsidR="00C51A58" w:rsidRPr="00D12C7B">
              <w:rPr>
                <w:rFonts w:cs="Arial"/>
                <w:color w:val="000000" w:themeColor="text1"/>
              </w:rPr>
              <w:t xml:space="preserve">Tier 4 Sponsor status </w:t>
            </w:r>
            <w:r w:rsidR="00D15D2C" w:rsidRPr="00D12C7B">
              <w:rPr>
                <w:rFonts w:cs="Arial"/>
                <w:color w:val="000000" w:themeColor="text1"/>
              </w:rPr>
              <w:t xml:space="preserve">allowing the </w:t>
            </w:r>
            <w:r w:rsidR="00217CB3" w:rsidRPr="00D12C7B">
              <w:rPr>
                <w:rFonts w:cs="Arial"/>
                <w:color w:val="000000" w:themeColor="text1"/>
              </w:rPr>
              <w:t xml:space="preserve">College to sponsor </w:t>
            </w:r>
            <w:r w:rsidRPr="00D12C7B">
              <w:rPr>
                <w:rFonts w:cs="Arial"/>
                <w:color w:val="000000" w:themeColor="text1"/>
              </w:rPr>
              <w:t>overseas students</w:t>
            </w:r>
            <w:r w:rsidR="00217CB3" w:rsidRPr="00D12C7B">
              <w:rPr>
                <w:rFonts w:cs="Arial"/>
                <w:color w:val="000000" w:themeColor="text1"/>
              </w:rPr>
              <w:t xml:space="preserve"> to study in the UK</w:t>
            </w:r>
            <w:r w:rsidRPr="00D12C7B">
              <w:rPr>
                <w:rFonts w:cs="Arial"/>
                <w:color w:val="000000" w:themeColor="text1"/>
              </w:rPr>
              <w:t>.</w:t>
            </w:r>
          </w:p>
          <w:p w14:paraId="1E29C9A6" w14:textId="77777777" w:rsidR="00DF5323" w:rsidRPr="00D12C7B" w:rsidRDefault="00DF5323" w:rsidP="007B35DF">
            <w:pPr>
              <w:jc w:val="both"/>
              <w:rPr>
                <w:rFonts w:cs="Arial"/>
                <w:color w:val="000000" w:themeColor="text1"/>
              </w:rPr>
            </w:pPr>
          </w:p>
          <w:p w14:paraId="3F08951F" w14:textId="57B518B7" w:rsidR="00D07ECC" w:rsidRPr="00D12C7B" w:rsidRDefault="00D07ECC" w:rsidP="007B35DF">
            <w:pPr>
              <w:jc w:val="both"/>
              <w:rPr>
                <w:rFonts w:cs="Arial"/>
                <w:color w:val="000000" w:themeColor="text1"/>
              </w:rPr>
            </w:pPr>
            <w:r w:rsidRPr="00D12C7B">
              <w:rPr>
                <w:rFonts w:cs="Arial"/>
                <w:color w:val="000000" w:themeColor="text1"/>
              </w:rPr>
              <w:t xml:space="preserve">The </w:t>
            </w:r>
            <w:r w:rsidR="00FD51E1" w:rsidRPr="00D12C7B">
              <w:rPr>
                <w:rFonts w:cs="Arial"/>
                <w:color w:val="000000" w:themeColor="text1"/>
              </w:rPr>
              <w:t>five</w:t>
            </w:r>
            <w:r w:rsidR="00C43045" w:rsidRPr="00D12C7B">
              <w:rPr>
                <w:rFonts w:cs="Arial"/>
                <w:color w:val="000000" w:themeColor="text1"/>
              </w:rPr>
              <w:t xml:space="preserve"> </w:t>
            </w:r>
            <w:r w:rsidRPr="00D12C7B">
              <w:rPr>
                <w:rFonts w:cs="Arial"/>
                <w:color w:val="000000" w:themeColor="text1"/>
              </w:rPr>
              <w:t>key risks to the College’s ability to deliver programmes are as follows:</w:t>
            </w:r>
          </w:p>
          <w:p w14:paraId="2BD801E4" w14:textId="77777777" w:rsidR="00D07ECC" w:rsidRPr="00D12C7B" w:rsidRDefault="00D07ECC" w:rsidP="007B35DF">
            <w:pPr>
              <w:jc w:val="both"/>
              <w:rPr>
                <w:rFonts w:cs="Arial"/>
                <w:color w:val="000000" w:themeColor="text1"/>
              </w:rPr>
            </w:pPr>
          </w:p>
          <w:p w14:paraId="3E98B6DF" w14:textId="1C3D02B0" w:rsidR="00D02E8A" w:rsidRPr="00D12C7B" w:rsidRDefault="00C42839" w:rsidP="005E0125">
            <w:pPr>
              <w:pStyle w:val="ListParagraph"/>
              <w:numPr>
                <w:ilvl w:val="4"/>
                <w:numId w:val="37"/>
              </w:numPr>
              <w:ind w:left="357" w:hanging="357"/>
              <w:rPr>
                <w:rFonts w:ascii="Arial" w:hAnsi="Arial" w:cs="Arial"/>
                <w:color w:val="000000" w:themeColor="text1"/>
              </w:rPr>
            </w:pPr>
            <w:r w:rsidRPr="00D12C7B">
              <w:rPr>
                <w:rFonts w:ascii="Arial" w:hAnsi="Arial" w:cs="Arial"/>
                <w:color w:val="000000" w:themeColor="text1"/>
              </w:rPr>
              <w:t>Signific</w:t>
            </w:r>
            <w:r w:rsidR="005E0125" w:rsidRPr="00D12C7B">
              <w:rPr>
                <w:rFonts w:ascii="Arial" w:hAnsi="Arial" w:cs="Arial"/>
                <w:color w:val="000000" w:themeColor="text1"/>
              </w:rPr>
              <w:t>ant failure to recruit students, w</w:t>
            </w:r>
            <w:r w:rsidR="00C43045" w:rsidRPr="00D12C7B">
              <w:rPr>
                <w:rFonts w:ascii="Arial" w:hAnsi="Arial" w:cs="Arial"/>
                <w:color w:val="000000" w:themeColor="text1"/>
              </w:rPr>
              <w:t>hich could lead to:</w:t>
            </w:r>
          </w:p>
          <w:p w14:paraId="6F6D5FEE" w14:textId="6535089F" w:rsidR="00AA103C" w:rsidRPr="00D12C7B" w:rsidRDefault="00AA103C" w:rsidP="00A22BCA">
            <w:pPr>
              <w:pStyle w:val="ListParagraph"/>
              <w:numPr>
                <w:ilvl w:val="0"/>
                <w:numId w:val="37"/>
              </w:numPr>
              <w:spacing w:after="0" w:line="240" w:lineRule="auto"/>
              <w:contextualSpacing w:val="0"/>
              <w:jc w:val="both"/>
              <w:rPr>
                <w:rFonts w:ascii="Arial" w:hAnsi="Arial" w:cs="Arial"/>
                <w:color w:val="000000" w:themeColor="text1"/>
              </w:rPr>
            </w:pPr>
            <w:r w:rsidRPr="00D12C7B">
              <w:rPr>
                <w:rFonts w:ascii="Arial" w:hAnsi="Arial" w:cs="Arial"/>
                <w:color w:val="000000" w:themeColor="text1"/>
              </w:rPr>
              <w:t>College Closure</w:t>
            </w:r>
          </w:p>
          <w:p w14:paraId="0C8D107B" w14:textId="77777777" w:rsidR="00D02E8A" w:rsidRPr="00D12C7B" w:rsidRDefault="00AA103C" w:rsidP="00A22BCA">
            <w:pPr>
              <w:pStyle w:val="ListParagraph"/>
              <w:numPr>
                <w:ilvl w:val="0"/>
                <w:numId w:val="37"/>
              </w:numPr>
              <w:spacing w:after="0" w:line="240" w:lineRule="auto"/>
              <w:contextualSpacing w:val="0"/>
              <w:jc w:val="both"/>
              <w:rPr>
                <w:rFonts w:ascii="Arial" w:hAnsi="Arial" w:cs="Arial"/>
                <w:color w:val="000000" w:themeColor="text1"/>
              </w:rPr>
            </w:pPr>
            <w:r w:rsidRPr="00D12C7B">
              <w:rPr>
                <w:rFonts w:ascii="Arial" w:hAnsi="Arial" w:cs="Arial"/>
                <w:color w:val="000000" w:themeColor="text1"/>
              </w:rPr>
              <w:t>Campus Closure</w:t>
            </w:r>
            <w:r w:rsidR="00D02E8A" w:rsidRPr="00D12C7B">
              <w:rPr>
                <w:rFonts w:ascii="Arial" w:hAnsi="Arial" w:cs="Arial"/>
                <w:color w:val="000000" w:themeColor="text1"/>
              </w:rPr>
              <w:t xml:space="preserve"> (Central London)</w:t>
            </w:r>
          </w:p>
          <w:p w14:paraId="3587C144" w14:textId="77777777" w:rsidR="00F72B88" w:rsidRPr="00D12C7B" w:rsidRDefault="00F72B88" w:rsidP="00A22BCA">
            <w:pPr>
              <w:pStyle w:val="ListParagraph"/>
              <w:numPr>
                <w:ilvl w:val="0"/>
                <w:numId w:val="37"/>
              </w:numPr>
              <w:spacing w:after="0" w:line="240" w:lineRule="auto"/>
              <w:contextualSpacing w:val="0"/>
              <w:jc w:val="both"/>
              <w:rPr>
                <w:rFonts w:ascii="Arial" w:hAnsi="Arial" w:cs="Arial"/>
                <w:color w:val="000000" w:themeColor="text1"/>
              </w:rPr>
            </w:pPr>
            <w:r w:rsidRPr="00D12C7B">
              <w:rPr>
                <w:rFonts w:ascii="Arial" w:hAnsi="Arial" w:cs="Arial"/>
                <w:color w:val="000000" w:themeColor="text1"/>
              </w:rPr>
              <w:t xml:space="preserve">Department Closure </w:t>
            </w:r>
          </w:p>
          <w:p w14:paraId="7B142B51" w14:textId="67E30D96" w:rsidR="00AA103C" w:rsidRPr="00D12C7B" w:rsidRDefault="00AA103C" w:rsidP="00A22BCA">
            <w:pPr>
              <w:pStyle w:val="ListParagraph"/>
              <w:numPr>
                <w:ilvl w:val="0"/>
                <w:numId w:val="37"/>
              </w:numPr>
              <w:spacing w:after="0" w:line="240" w:lineRule="auto"/>
              <w:contextualSpacing w:val="0"/>
              <w:jc w:val="both"/>
              <w:rPr>
                <w:rFonts w:ascii="Arial" w:hAnsi="Arial" w:cs="Arial"/>
                <w:color w:val="000000" w:themeColor="text1"/>
              </w:rPr>
            </w:pPr>
            <w:r w:rsidRPr="00D12C7B">
              <w:rPr>
                <w:rFonts w:ascii="Arial" w:hAnsi="Arial" w:cs="Arial"/>
                <w:color w:val="000000" w:themeColor="text1"/>
              </w:rPr>
              <w:t>Programme Closure</w:t>
            </w:r>
          </w:p>
          <w:p w14:paraId="7B3B984D" w14:textId="77777777" w:rsidR="00C43045" w:rsidRPr="00D12C7B" w:rsidRDefault="00C43045" w:rsidP="00A22BCA">
            <w:pPr>
              <w:jc w:val="both"/>
              <w:rPr>
                <w:rFonts w:cs="Arial"/>
                <w:szCs w:val="22"/>
              </w:rPr>
            </w:pPr>
          </w:p>
          <w:p w14:paraId="6ACC9DD6" w14:textId="46D00B5C" w:rsidR="00FD51E1" w:rsidRPr="00D12C7B" w:rsidRDefault="00FD51E1" w:rsidP="00771975">
            <w:pPr>
              <w:pStyle w:val="ListParagraph"/>
              <w:numPr>
                <w:ilvl w:val="0"/>
                <w:numId w:val="36"/>
              </w:numPr>
              <w:ind w:left="357" w:hanging="357"/>
              <w:jc w:val="both"/>
              <w:rPr>
                <w:rFonts w:ascii="Arial" w:hAnsi="Arial" w:cs="Arial"/>
                <w:color w:val="000000" w:themeColor="text1"/>
              </w:rPr>
            </w:pPr>
            <w:r w:rsidRPr="00D12C7B">
              <w:rPr>
                <w:rFonts w:ascii="Arial" w:hAnsi="Arial" w:cs="Arial"/>
                <w:color w:val="000000" w:themeColor="text1"/>
              </w:rPr>
              <w:t>Unavailability of specialist space/ facilities that might arise as the result of a natural disaster, which  could prevent the College from running one or more specialist programmes</w:t>
            </w:r>
          </w:p>
          <w:p w14:paraId="21FE8AB8" w14:textId="77777777" w:rsidR="00771975" w:rsidRPr="00D12C7B" w:rsidRDefault="00771975" w:rsidP="00771975">
            <w:pPr>
              <w:pStyle w:val="ListParagraph"/>
              <w:numPr>
                <w:ilvl w:val="0"/>
                <w:numId w:val="36"/>
              </w:numPr>
              <w:ind w:left="357" w:hanging="357"/>
              <w:jc w:val="both"/>
              <w:rPr>
                <w:rFonts w:ascii="Arial" w:hAnsi="Arial" w:cs="Arial"/>
                <w:color w:val="000000" w:themeColor="text1"/>
              </w:rPr>
            </w:pPr>
            <w:r w:rsidRPr="00D12C7B">
              <w:rPr>
                <w:rFonts w:ascii="Arial" w:hAnsi="Arial" w:cs="Arial"/>
                <w:color w:val="000000" w:themeColor="text1"/>
              </w:rPr>
              <w:t>L</w:t>
            </w:r>
            <w:r w:rsidR="00643F23" w:rsidRPr="00D12C7B">
              <w:rPr>
                <w:rFonts w:ascii="Arial" w:hAnsi="Arial" w:cs="Arial"/>
                <w:color w:val="000000" w:themeColor="text1"/>
              </w:rPr>
              <w:t xml:space="preserve">oss of UKVI Sponsor Licence </w:t>
            </w:r>
          </w:p>
          <w:p w14:paraId="397393EC" w14:textId="3D1C8159" w:rsidR="00771975" w:rsidRPr="00D12C7B" w:rsidRDefault="00771975" w:rsidP="00771975">
            <w:pPr>
              <w:pStyle w:val="ListParagraph"/>
              <w:numPr>
                <w:ilvl w:val="0"/>
                <w:numId w:val="36"/>
              </w:numPr>
              <w:ind w:left="357" w:hanging="357"/>
              <w:jc w:val="both"/>
              <w:rPr>
                <w:rFonts w:ascii="Arial" w:hAnsi="Arial" w:cs="Arial"/>
                <w:color w:val="000000" w:themeColor="text1"/>
              </w:rPr>
            </w:pPr>
            <w:r w:rsidRPr="00D12C7B">
              <w:rPr>
                <w:rFonts w:ascii="Arial" w:hAnsi="Arial" w:cs="Arial"/>
                <w:color w:val="000000" w:themeColor="text1"/>
              </w:rPr>
              <w:t>Closure of collaborative partners</w:t>
            </w:r>
          </w:p>
          <w:p w14:paraId="5B3C1B7D" w14:textId="77777777" w:rsidR="00A22BCA" w:rsidRPr="00D12C7B" w:rsidRDefault="00A22BCA" w:rsidP="00A22BCA">
            <w:pPr>
              <w:pStyle w:val="ListParagraph"/>
              <w:numPr>
                <w:ilvl w:val="0"/>
                <w:numId w:val="36"/>
              </w:numPr>
              <w:spacing w:after="0" w:line="240" w:lineRule="auto"/>
              <w:ind w:left="357" w:hanging="357"/>
              <w:contextualSpacing w:val="0"/>
              <w:jc w:val="both"/>
              <w:rPr>
                <w:rFonts w:ascii="Arial" w:hAnsi="Arial" w:cs="Arial"/>
                <w:color w:val="000000" w:themeColor="text1"/>
              </w:rPr>
            </w:pPr>
            <w:r w:rsidRPr="00D12C7B">
              <w:rPr>
                <w:rFonts w:ascii="Arial" w:hAnsi="Arial" w:cs="Arial"/>
                <w:color w:val="000000" w:themeColor="text1"/>
              </w:rPr>
              <w:t>University of London closure</w:t>
            </w:r>
          </w:p>
          <w:p w14:paraId="6E406C6E" w14:textId="77777777" w:rsidR="005E0125" w:rsidRPr="00D12C7B" w:rsidRDefault="005E0125" w:rsidP="005E0125">
            <w:pPr>
              <w:pStyle w:val="ListParagraph"/>
              <w:numPr>
                <w:ilvl w:val="0"/>
                <w:numId w:val="0"/>
              </w:numPr>
              <w:spacing w:after="0" w:line="240" w:lineRule="auto"/>
              <w:ind w:left="357"/>
              <w:contextualSpacing w:val="0"/>
              <w:jc w:val="both"/>
              <w:rPr>
                <w:rFonts w:ascii="Arial" w:hAnsi="Arial" w:cs="Arial"/>
                <w:color w:val="000000" w:themeColor="text1"/>
              </w:rPr>
            </w:pPr>
          </w:p>
          <w:p w14:paraId="2FFA8812" w14:textId="34F0B74C" w:rsidR="005E0125" w:rsidRPr="00D12C7B" w:rsidRDefault="00FD51E1" w:rsidP="00C43045">
            <w:pPr>
              <w:jc w:val="both"/>
              <w:rPr>
                <w:rFonts w:cs="Arial"/>
                <w:color w:val="000000" w:themeColor="text1"/>
              </w:rPr>
            </w:pPr>
            <w:r w:rsidRPr="00D12C7B">
              <w:rPr>
                <w:rFonts w:cs="Arial"/>
                <w:color w:val="000000" w:themeColor="text1"/>
              </w:rPr>
              <w:t>The College also recognises that should any of these risks materialise</w:t>
            </w:r>
            <w:r w:rsidR="00614A35" w:rsidRPr="00D12C7B">
              <w:rPr>
                <w:rFonts w:cs="Arial"/>
                <w:color w:val="000000" w:themeColor="text1"/>
              </w:rPr>
              <w:t xml:space="preserve"> they will not only impact on continuing stud</w:t>
            </w:r>
            <w:r w:rsidR="00FD0FA4">
              <w:rPr>
                <w:rFonts w:cs="Arial"/>
                <w:color w:val="000000" w:themeColor="text1"/>
              </w:rPr>
              <w:t>e</w:t>
            </w:r>
            <w:r w:rsidR="009F33E8">
              <w:rPr>
                <w:rFonts w:cs="Arial"/>
                <w:color w:val="000000" w:themeColor="text1"/>
              </w:rPr>
              <w:t>n</w:t>
            </w:r>
            <w:r w:rsidR="00614A35" w:rsidRPr="00D12C7B">
              <w:rPr>
                <w:rFonts w:cs="Arial"/>
                <w:color w:val="000000" w:themeColor="text1"/>
              </w:rPr>
              <w:t>ts, but also</w:t>
            </w:r>
            <w:r w:rsidRPr="00D12C7B">
              <w:rPr>
                <w:rFonts w:cs="Arial"/>
                <w:color w:val="000000" w:themeColor="text1"/>
              </w:rPr>
              <w:t xml:space="preserve"> </w:t>
            </w:r>
            <w:r w:rsidR="00614A35" w:rsidRPr="00D12C7B">
              <w:rPr>
                <w:rFonts w:cs="Arial"/>
                <w:color w:val="000000" w:themeColor="text1"/>
              </w:rPr>
              <w:t xml:space="preserve">applicants </w:t>
            </w:r>
            <w:r w:rsidRPr="00D12C7B">
              <w:rPr>
                <w:rFonts w:cs="Arial"/>
                <w:color w:val="000000" w:themeColor="text1"/>
              </w:rPr>
              <w:t>who have accepted a firm offer of a place and who are committed to studying at the College.  The College w</w:t>
            </w:r>
            <w:r w:rsidR="00614A35" w:rsidRPr="00D12C7B">
              <w:rPr>
                <w:rFonts w:cs="Arial"/>
                <w:color w:val="000000" w:themeColor="text1"/>
              </w:rPr>
              <w:t xml:space="preserve">ould be committed to offer these applicants </w:t>
            </w:r>
            <w:r w:rsidRPr="00D12C7B">
              <w:rPr>
                <w:rFonts w:cs="Arial"/>
                <w:color w:val="000000" w:themeColor="text1"/>
              </w:rPr>
              <w:t xml:space="preserve">a place on an alternative programme at the College. </w:t>
            </w:r>
          </w:p>
          <w:p w14:paraId="6050BF9D" w14:textId="77777777" w:rsidR="00FD51E1" w:rsidRPr="00D12C7B" w:rsidRDefault="00FD51E1" w:rsidP="00C43045">
            <w:pPr>
              <w:jc w:val="both"/>
              <w:rPr>
                <w:rFonts w:cs="Arial"/>
                <w:color w:val="000000" w:themeColor="text1"/>
              </w:rPr>
            </w:pPr>
          </w:p>
          <w:p w14:paraId="1EC8B666" w14:textId="20F69D3A" w:rsidR="00C43045" w:rsidRPr="00D12C7B" w:rsidRDefault="00C43045" w:rsidP="00C43045">
            <w:pPr>
              <w:jc w:val="both"/>
              <w:rPr>
                <w:rFonts w:cs="Arial"/>
                <w:color w:val="000000" w:themeColor="text1"/>
                <w:u w:val="single"/>
              </w:rPr>
            </w:pPr>
            <w:r w:rsidRPr="00D12C7B">
              <w:rPr>
                <w:rFonts w:cs="Arial"/>
                <w:color w:val="000000" w:themeColor="text1"/>
                <w:u w:val="single"/>
              </w:rPr>
              <w:t xml:space="preserve">Significant failure to recruit students </w:t>
            </w:r>
          </w:p>
          <w:p w14:paraId="150A3B80" w14:textId="089EDF26" w:rsidR="00C43045" w:rsidRPr="00D12C7B" w:rsidRDefault="00C43045" w:rsidP="00C43045">
            <w:pPr>
              <w:spacing w:beforeLines="40" w:before="96" w:afterLines="40" w:after="96"/>
              <w:jc w:val="both"/>
              <w:rPr>
                <w:rFonts w:cs="Arial"/>
                <w:color w:val="000000" w:themeColor="text1"/>
                <w:szCs w:val="22"/>
              </w:rPr>
            </w:pPr>
            <w:r w:rsidRPr="00D12C7B">
              <w:rPr>
                <w:rFonts w:cs="Arial"/>
                <w:szCs w:val="22"/>
              </w:rPr>
              <w:t xml:space="preserve">With increased competition and demographic changes </w:t>
            </w:r>
            <w:r w:rsidRPr="00D12C7B">
              <w:rPr>
                <w:rFonts w:cs="Arial"/>
                <w:color w:val="000000" w:themeColor="text1"/>
                <w:szCs w:val="22"/>
              </w:rPr>
              <w:t>significant failure to recruit students to meet recruitment target</w:t>
            </w:r>
            <w:r w:rsidR="005E0125" w:rsidRPr="00D12C7B">
              <w:rPr>
                <w:rFonts w:cs="Arial"/>
                <w:color w:val="000000" w:themeColor="text1"/>
                <w:szCs w:val="22"/>
              </w:rPr>
              <w:t>s</w:t>
            </w:r>
            <w:r w:rsidRPr="00D12C7B">
              <w:rPr>
                <w:rFonts w:cs="Arial"/>
                <w:color w:val="000000" w:themeColor="text1"/>
                <w:szCs w:val="22"/>
              </w:rPr>
              <w:t xml:space="preserve"> would impact on financial return and could lead to any/ all </w:t>
            </w:r>
            <w:r w:rsidR="005E0125" w:rsidRPr="00D12C7B">
              <w:rPr>
                <w:rFonts w:cs="Arial"/>
                <w:color w:val="000000" w:themeColor="text1"/>
                <w:szCs w:val="22"/>
              </w:rPr>
              <w:t xml:space="preserve">of the </w:t>
            </w:r>
            <w:r w:rsidRPr="00D12C7B">
              <w:rPr>
                <w:rFonts w:cs="Arial"/>
                <w:color w:val="000000" w:themeColor="text1"/>
                <w:szCs w:val="22"/>
              </w:rPr>
              <w:t xml:space="preserve">closures referred to above.  </w:t>
            </w:r>
          </w:p>
          <w:p w14:paraId="4A9A9640" w14:textId="4DB11DDC" w:rsidR="008A7AA4" w:rsidRPr="00D54133" w:rsidRDefault="00771975" w:rsidP="007B35DF">
            <w:pPr>
              <w:jc w:val="both"/>
              <w:rPr>
                <w:rFonts w:cs="Arial"/>
                <w:color w:val="FF0000"/>
              </w:rPr>
            </w:pPr>
            <w:r w:rsidRPr="00D12C7B">
              <w:rPr>
                <w:rFonts w:cs="Arial"/>
                <w:color w:val="000000" w:themeColor="text1"/>
              </w:rPr>
              <w:t xml:space="preserve">The </w:t>
            </w:r>
            <w:r w:rsidR="005E0125" w:rsidRPr="00D12C7B">
              <w:rPr>
                <w:rFonts w:cs="Arial"/>
                <w:color w:val="000000" w:themeColor="text1"/>
              </w:rPr>
              <w:t>College’s financial performance</w:t>
            </w:r>
            <w:r w:rsidRPr="00D12C7B">
              <w:rPr>
                <w:rFonts w:cs="Arial"/>
                <w:color w:val="000000" w:themeColor="text1"/>
              </w:rPr>
              <w:t xml:space="preserve"> has</w:t>
            </w:r>
            <w:r w:rsidR="00CA17AF" w:rsidRPr="00D12C7B">
              <w:rPr>
                <w:rFonts w:cs="Arial"/>
                <w:color w:val="000000" w:themeColor="text1"/>
              </w:rPr>
              <w:t>, however,</w:t>
            </w:r>
            <w:r w:rsidRPr="00D12C7B">
              <w:rPr>
                <w:rFonts w:cs="Arial"/>
                <w:color w:val="000000" w:themeColor="text1"/>
              </w:rPr>
              <w:t xml:space="preserve"> been and continues to be</w:t>
            </w:r>
            <w:r w:rsidR="005E0125" w:rsidRPr="00D12C7B">
              <w:rPr>
                <w:rFonts w:cs="Arial"/>
                <w:color w:val="000000" w:themeColor="text1"/>
              </w:rPr>
              <w:t xml:space="preserve"> strong</w:t>
            </w:r>
            <w:r w:rsidRPr="00D12C7B">
              <w:rPr>
                <w:rFonts w:cs="Arial"/>
                <w:color w:val="000000" w:themeColor="text1"/>
              </w:rPr>
              <w:t xml:space="preserve"> enabling it to provide confidence to students that the risk of the College as a whole closing is very low. </w:t>
            </w:r>
          </w:p>
          <w:p w14:paraId="1284F0CA" w14:textId="77777777" w:rsidR="008A7AA4" w:rsidRPr="00D12C7B" w:rsidRDefault="008A7AA4" w:rsidP="007B35DF">
            <w:pPr>
              <w:jc w:val="both"/>
              <w:rPr>
                <w:rFonts w:cs="Arial"/>
                <w:color w:val="000000" w:themeColor="text1"/>
              </w:rPr>
            </w:pPr>
          </w:p>
          <w:p w14:paraId="082E31D1" w14:textId="77777777" w:rsidR="00CA17AF" w:rsidRPr="00D12C7B" w:rsidRDefault="008A7AA4" w:rsidP="007B35DF">
            <w:pPr>
              <w:tabs>
                <w:tab w:val="left" w:pos="1428"/>
              </w:tabs>
              <w:jc w:val="both"/>
              <w:rPr>
                <w:rFonts w:cs="Arial"/>
                <w:color w:val="000000" w:themeColor="text1"/>
              </w:rPr>
            </w:pPr>
            <w:r w:rsidRPr="00D12C7B">
              <w:rPr>
                <w:rFonts w:cs="Arial"/>
                <w:color w:val="000000" w:themeColor="text1"/>
              </w:rPr>
              <w:t>With respect to the other possible closures listed above the College carefully manages its recruitment and increased recruitment on new programmes generally mitigates falling recruitment on existing programmes. Should the College deem it necessary to close the ce</w:t>
            </w:r>
            <w:r w:rsidR="005D6E16" w:rsidRPr="00D12C7B">
              <w:rPr>
                <w:rFonts w:cs="Arial"/>
                <w:color w:val="000000" w:themeColor="text1"/>
              </w:rPr>
              <w:t xml:space="preserve">ntral </w:t>
            </w:r>
            <w:r w:rsidRPr="00D12C7B">
              <w:rPr>
                <w:rFonts w:cs="Arial"/>
                <w:color w:val="000000" w:themeColor="text1"/>
              </w:rPr>
              <w:t xml:space="preserve">London campus (which </w:t>
            </w:r>
            <w:r w:rsidR="00CA17AF" w:rsidRPr="00D12C7B">
              <w:rPr>
                <w:rFonts w:cs="Arial"/>
                <w:color w:val="000000" w:themeColor="text1"/>
              </w:rPr>
              <w:t xml:space="preserve">is in the process of expanding with effect </w:t>
            </w:r>
            <w:r w:rsidR="005E0125" w:rsidRPr="00D12C7B">
              <w:rPr>
                <w:rFonts w:cs="Arial"/>
                <w:color w:val="000000" w:themeColor="text1"/>
              </w:rPr>
              <w:t>September 2018</w:t>
            </w:r>
            <w:r w:rsidR="00CA17AF" w:rsidRPr="00D12C7B">
              <w:rPr>
                <w:rFonts w:cs="Arial"/>
                <w:color w:val="000000" w:themeColor="text1"/>
              </w:rPr>
              <w:t>)</w:t>
            </w:r>
            <w:r w:rsidR="005E0125" w:rsidRPr="00D12C7B">
              <w:rPr>
                <w:rFonts w:cs="Arial"/>
                <w:color w:val="000000" w:themeColor="text1"/>
              </w:rPr>
              <w:t xml:space="preserve"> </w:t>
            </w:r>
            <w:r w:rsidR="00121634" w:rsidRPr="00D12C7B">
              <w:rPr>
                <w:rFonts w:cs="Arial"/>
                <w:color w:val="000000" w:themeColor="text1"/>
              </w:rPr>
              <w:t xml:space="preserve">and will offer only </w:t>
            </w:r>
            <w:r w:rsidR="005D6E16" w:rsidRPr="00D12C7B">
              <w:rPr>
                <w:rFonts w:cs="Arial"/>
                <w:color w:val="000000" w:themeColor="text1"/>
              </w:rPr>
              <w:t xml:space="preserve">PGT </w:t>
            </w:r>
            <w:r w:rsidRPr="00D12C7B">
              <w:rPr>
                <w:rFonts w:cs="Arial"/>
                <w:color w:val="000000" w:themeColor="text1"/>
              </w:rPr>
              <w:t>programmes</w:t>
            </w:r>
            <w:r w:rsidR="00121634" w:rsidRPr="00D12C7B">
              <w:rPr>
                <w:rFonts w:cs="Arial"/>
                <w:color w:val="000000" w:themeColor="text1"/>
              </w:rPr>
              <w:t xml:space="preserve"> to between around 2</w:t>
            </w:r>
            <w:r w:rsidR="005E0125" w:rsidRPr="00D12C7B">
              <w:rPr>
                <w:rFonts w:cs="Arial"/>
                <w:color w:val="000000" w:themeColor="text1"/>
              </w:rPr>
              <w:t xml:space="preserve"> to</w:t>
            </w:r>
            <w:r w:rsidR="00121634" w:rsidRPr="00D12C7B">
              <w:rPr>
                <w:rFonts w:cs="Arial"/>
                <w:color w:val="000000" w:themeColor="text1"/>
              </w:rPr>
              <w:t xml:space="preserve"> 5% of the total student cohort</w:t>
            </w:r>
            <w:r w:rsidR="005D6E16" w:rsidRPr="00D12C7B">
              <w:rPr>
                <w:rFonts w:cs="Arial"/>
                <w:color w:val="000000" w:themeColor="text1"/>
              </w:rPr>
              <w:t>) it would either endeavour to find a suitable venue in London for the programmes to be delivered or move delivery to the Egham campus.  For programmes currently delivered on the Egham campus</w:t>
            </w:r>
            <w:r w:rsidRPr="00D12C7B">
              <w:rPr>
                <w:rFonts w:cs="Arial"/>
                <w:color w:val="000000" w:themeColor="text1"/>
              </w:rPr>
              <w:t>, the College would strive in the first instance to teach out the programme and already has in place an approve</w:t>
            </w:r>
            <w:r w:rsidR="00C42839" w:rsidRPr="00D12C7B">
              <w:rPr>
                <w:rFonts w:cs="Arial"/>
                <w:color w:val="000000" w:themeColor="text1"/>
              </w:rPr>
              <w:t>d</w:t>
            </w:r>
            <w:r w:rsidRPr="00D12C7B">
              <w:rPr>
                <w:rFonts w:cs="Arial"/>
                <w:color w:val="000000" w:themeColor="text1"/>
              </w:rPr>
              <w:t xml:space="preserve"> process for the College to discuss such closures with students:  </w:t>
            </w:r>
          </w:p>
          <w:p w14:paraId="16B43D54" w14:textId="77777777" w:rsidR="00CA17AF" w:rsidRPr="00D12C7B" w:rsidRDefault="00CA17AF" w:rsidP="007B35DF">
            <w:pPr>
              <w:tabs>
                <w:tab w:val="left" w:pos="1428"/>
              </w:tabs>
              <w:jc w:val="both"/>
              <w:rPr>
                <w:rFonts w:cs="Arial"/>
                <w:color w:val="000000" w:themeColor="text1"/>
              </w:rPr>
            </w:pPr>
          </w:p>
          <w:p w14:paraId="248FB3E9" w14:textId="6F39C7D6" w:rsidR="00C43045" w:rsidRPr="00D12C7B" w:rsidRDefault="004907DE" w:rsidP="007B35DF">
            <w:pPr>
              <w:tabs>
                <w:tab w:val="left" w:pos="1428"/>
              </w:tabs>
              <w:jc w:val="both"/>
              <w:rPr>
                <w:rFonts w:cs="Arial"/>
                <w:color w:val="005677" w:themeColor="accent5" w:themeShade="80"/>
                <w:szCs w:val="22"/>
                <w:u w:val="single"/>
              </w:rPr>
            </w:pPr>
            <w:hyperlink r:id="rId8" w:history="1">
              <w:r w:rsidR="00CA17AF" w:rsidRPr="00D12C7B">
                <w:rPr>
                  <w:rStyle w:val="Hyperlink"/>
                  <w:color w:val="005677" w:themeColor="accent5" w:themeShade="80"/>
                  <w:u w:val="single"/>
                </w:rPr>
                <w:t>https://www.royalholloway.ac.uk/staff/teaching/aqpo/academic-regulations-and-policies/academic-policies/programme-closure-withdrawal-and-suspension.aspx</w:t>
              </w:r>
            </w:hyperlink>
            <w:r w:rsidR="00CA17AF" w:rsidRPr="00D12C7B">
              <w:rPr>
                <w:color w:val="005677" w:themeColor="accent5" w:themeShade="80"/>
                <w:u w:val="single"/>
              </w:rPr>
              <w:t xml:space="preserve">  </w:t>
            </w:r>
          </w:p>
          <w:p w14:paraId="0E6FCBD0" w14:textId="77777777" w:rsidR="00643F23" w:rsidRPr="00D12C7B" w:rsidRDefault="00643F23" w:rsidP="00643F23">
            <w:pPr>
              <w:tabs>
                <w:tab w:val="left" w:pos="1428"/>
              </w:tabs>
              <w:jc w:val="both"/>
              <w:rPr>
                <w:rFonts w:cs="Arial"/>
                <w:color w:val="000000" w:themeColor="text1"/>
                <w:szCs w:val="22"/>
                <w:u w:val="single"/>
              </w:rPr>
            </w:pPr>
          </w:p>
          <w:p w14:paraId="1B06120B" w14:textId="1AAB5169" w:rsidR="00FD51E1" w:rsidRPr="00D12C7B" w:rsidRDefault="00FD51E1" w:rsidP="00643F23">
            <w:pPr>
              <w:jc w:val="both"/>
              <w:rPr>
                <w:rFonts w:cs="Arial"/>
                <w:color w:val="000000" w:themeColor="text1"/>
                <w:u w:val="single"/>
              </w:rPr>
            </w:pPr>
            <w:r w:rsidRPr="00D12C7B">
              <w:rPr>
                <w:rFonts w:cs="Arial"/>
                <w:color w:val="000000" w:themeColor="text1"/>
                <w:u w:val="single"/>
              </w:rPr>
              <w:t>Unavailability of specialist space/ facilities</w:t>
            </w:r>
          </w:p>
          <w:p w14:paraId="395EDD98" w14:textId="4905AEE6" w:rsidR="00FD51E1" w:rsidRPr="00D54133" w:rsidRDefault="00FD51E1" w:rsidP="00643F23">
            <w:pPr>
              <w:jc w:val="both"/>
              <w:rPr>
                <w:rFonts w:cs="Arial"/>
                <w:color w:val="FF0000"/>
              </w:rPr>
            </w:pPr>
            <w:r w:rsidRPr="00D12C7B">
              <w:rPr>
                <w:rFonts w:cs="Arial"/>
                <w:color w:val="000000" w:themeColor="text1"/>
              </w:rPr>
              <w:t>Should this happen, the College would</w:t>
            </w:r>
            <w:r w:rsidR="00DD03BB">
              <w:rPr>
                <w:rFonts w:cs="Arial"/>
                <w:color w:val="000000" w:themeColor="text1"/>
              </w:rPr>
              <w:t xml:space="preserve"> implement the Business Continuity Plan and</w:t>
            </w:r>
            <w:r w:rsidRPr="00D12C7B">
              <w:rPr>
                <w:rFonts w:cs="Arial"/>
                <w:color w:val="000000" w:themeColor="text1"/>
              </w:rPr>
              <w:t xml:space="preserve"> </w:t>
            </w:r>
            <w:r w:rsidR="00DD03BB">
              <w:rPr>
                <w:rFonts w:cs="Arial"/>
                <w:color w:val="000000" w:themeColor="text1"/>
              </w:rPr>
              <w:t>secure alternative accommodation in the local area.</w:t>
            </w:r>
          </w:p>
          <w:p w14:paraId="0767EFC2" w14:textId="77777777" w:rsidR="00FD51E1" w:rsidRPr="00D12C7B" w:rsidRDefault="00FD51E1" w:rsidP="00643F23">
            <w:pPr>
              <w:jc w:val="both"/>
              <w:rPr>
                <w:rFonts w:cs="Arial"/>
                <w:color w:val="000000" w:themeColor="text1"/>
                <w:u w:val="single"/>
              </w:rPr>
            </w:pPr>
          </w:p>
          <w:p w14:paraId="15240F33" w14:textId="77777777" w:rsidR="00643F23" w:rsidRPr="00D12C7B" w:rsidRDefault="00643F23" w:rsidP="00643F23">
            <w:pPr>
              <w:jc w:val="both"/>
              <w:rPr>
                <w:rFonts w:cs="Arial"/>
                <w:color w:val="000000" w:themeColor="text1"/>
                <w:u w:val="single"/>
              </w:rPr>
            </w:pPr>
            <w:r w:rsidRPr="00D12C7B">
              <w:rPr>
                <w:rFonts w:cs="Arial"/>
                <w:color w:val="000000" w:themeColor="text1"/>
                <w:u w:val="single"/>
              </w:rPr>
              <w:t xml:space="preserve">Loss of UKVI Sponsor Licence </w:t>
            </w:r>
          </w:p>
          <w:p w14:paraId="2367D8DE" w14:textId="569B40AB" w:rsidR="00643F23" w:rsidRPr="00D12C7B" w:rsidRDefault="00CA17AF" w:rsidP="00643F23">
            <w:pPr>
              <w:jc w:val="both"/>
              <w:rPr>
                <w:rFonts w:cs="Arial"/>
                <w:color w:val="000000" w:themeColor="text1"/>
              </w:rPr>
            </w:pPr>
            <w:r w:rsidRPr="00D12C7B">
              <w:rPr>
                <w:rFonts w:cs="Arial"/>
                <w:color w:val="000000" w:themeColor="text1"/>
              </w:rPr>
              <w:t xml:space="preserve">A second </w:t>
            </w:r>
            <w:r w:rsidR="00643F23" w:rsidRPr="00D12C7B">
              <w:rPr>
                <w:rFonts w:cs="Arial"/>
                <w:color w:val="000000" w:themeColor="text1"/>
              </w:rPr>
              <w:t>risk identified by the College, which might lead to College closure, is loss of the UKVI Sponsor Licence, which would impact on recruitment of students. The College has had Tier 4 Sponsor status since Tier 4 of the points based system was introduced in 2008 and has robust monitoring processes in place to continue to meet stipulated requirements.  The College has an A rating for the Tier 2 and Tier 5 of the Sponsor Licence.  Given the College’s track record</w:t>
            </w:r>
            <w:r w:rsidRPr="00D12C7B">
              <w:rPr>
                <w:rFonts w:cs="Arial"/>
                <w:color w:val="000000" w:themeColor="text1"/>
              </w:rPr>
              <w:t>,</w:t>
            </w:r>
            <w:r w:rsidR="00643F23" w:rsidRPr="00D12C7B">
              <w:rPr>
                <w:rFonts w:cs="Arial"/>
                <w:color w:val="000000" w:themeColor="text1"/>
              </w:rPr>
              <w:t xml:space="preserve"> the risk of losing the UKVI Sponsor Licence is very low.  </w:t>
            </w:r>
          </w:p>
          <w:p w14:paraId="0D9A14DB" w14:textId="77777777" w:rsidR="00643F23" w:rsidRPr="00D12C7B" w:rsidRDefault="00643F23" w:rsidP="00643F23">
            <w:pPr>
              <w:jc w:val="both"/>
              <w:rPr>
                <w:rFonts w:cs="Arial"/>
                <w:color w:val="000000" w:themeColor="text1"/>
              </w:rPr>
            </w:pPr>
          </w:p>
          <w:p w14:paraId="08982843" w14:textId="77777777" w:rsidR="00771975" w:rsidRPr="00D12C7B" w:rsidRDefault="00771975" w:rsidP="00771975">
            <w:pPr>
              <w:jc w:val="both"/>
              <w:rPr>
                <w:rFonts w:cs="Arial"/>
                <w:color w:val="000000" w:themeColor="text1"/>
                <w:u w:val="single"/>
              </w:rPr>
            </w:pPr>
            <w:r w:rsidRPr="00D12C7B">
              <w:rPr>
                <w:rFonts w:cs="Arial"/>
                <w:color w:val="000000" w:themeColor="text1"/>
                <w:u w:val="single"/>
              </w:rPr>
              <w:t>Closure of collaborative partners</w:t>
            </w:r>
          </w:p>
          <w:p w14:paraId="2448508C" w14:textId="4B9C9C69" w:rsidR="00771975" w:rsidRPr="00D12C7B" w:rsidRDefault="00771975" w:rsidP="004E1605">
            <w:pPr>
              <w:rPr>
                <w:rFonts w:cs="Arial"/>
                <w:color w:val="000000" w:themeColor="text1"/>
              </w:rPr>
            </w:pPr>
            <w:r w:rsidRPr="00D12C7B">
              <w:rPr>
                <w:rFonts w:cs="Arial"/>
                <w:color w:val="000000" w:themeColor="text1"/>
              </w:rPr>
              <w:t>Relative to other HEIs the College currently has relatively few collaborations with providers for franchised and validated programmes</w:t>
            </w:r>
            <w:r w:rsidR="00C14356" w:rsidRPr="00D12C7B">
              <w:rPr>
                <w:rFonts w:cs="Arial"/>
                <w:color w:val="000000" w:themeColor="text1"/>
              </w:rPr>
              <w:t xml:space="preserve"> both in the UK and overseas</w:t>
            </w:r>
            <w:r w:rsidRPr="00D12C7B">
              <w:rPr>
                <w:rFonts w:cs="Arial"/>
                <w:color w:val="000000" w:themeColor="text1"/>
              </w:rPr>
              <w:t xml:space="preserve">. </w:t>
            </w:r>
            <w:r w:rsidR="00C14356" w:rsidRPr="00D12C7B">
              <w:rPr>
                <w:rFonts w:cs="Arial"/>
                <w:color w:val="000000" w:themeColor="text1"/>
              </w:rPr>
              <w:t>A robust due diligence process is followed before se</w:t>
            </w:r>
            <w:r w:rsidR="00CA17AF" w:rsidRPr="00D12C7B">
              <w:rPr>
                <w:rFonts w:cs="Arial"/>
                <w:color w:val="000000" w:themeColor="text1"/>
              </w:rPr>
              <w:t>tti</w:t>
            </w:r>
            <w:r w:rsidR="00C14356" w:rsidRPr="00D12C7B">
              <w:rPr>
                <w:rFonts w:cs="Arial"/>
                <w:color w:val="000000" w:themeColor="text1"/>
              </w:rPr>
              <w:t xml:space="preserve">ng up such agreements, they are carefully monitored annually and collapse of the arrangement is covered in the </w:t>
            </w:r>
            <w:r w:rsidR="00CA17AF" w:rsidRPr="00D12C7B">
              <w:rPr>
                <w:rFonts w:cs="Arial"/>
                <w:color w:val="000000" w:themeColor="text1"/>
              </w:rPr>
              <w:t xml:space="preserve">legal </w:t>
            </w:r>
            <w:r w:rsidR="00C14356" w:rsidRPr="00D12C7B">
              <w:rPr>
                <w:rFonts w:cs="Arial"/>
                <w:color w:val="000000" w:themeColor="text1"/>
              </w:rPr>
              <w:t xml:space="preserve">contract. In the unlikely event that a collaboration were to collapse, </w:t>
            </w:r>
            <w:r w:rsidRPr="00D12C7B">
              <w:rPr>
                <w:rFonts w:cs="Arial"/>
                <w:color w:val="000000" w:themeColor="text1"/>
              </w:rPr>
              <w:t xml:space="preserve">the College would strive in the first instance to teach out the programme and already has in place an approved process for the College to discuss such closures with students:  </w:t>
            </w:r>
            <w:hyperlink r:id="rId9" w:history="1">
              <w:r w:rsidR="00CA17AF" w:rsidRPr="00D12C7B">
                <w:rPr>
                  <w:rStyle w:val="Hyperlink"/>
                  <w:color w:val="005677" w:themeColor="accent5" w:themeShade="80"/>
                  <w:u w:val="single"/>
                </w:rPr>
                <w:t>https://www.royalholloway.ac.uk/staff/teaching/aqpo/academic-regulations-and-policies/academic-policies/programme-closure-withdrawal-and-suspension.aspx</w:t>
              </w:r>
            </w:hyperlink>
            <w:r w:rsidR="00CA17AF" w:rsidRPr="00D12C7B">
              <w:rPr>
                <w:color w:val="005677" w:themeColor="accent5" w:themeShade="80"/>
                <w:u w:val="single"/>
              </w:rPr>
              <w:t xml:space="preserve"> </w:t>
            </w:r>
            <w:r w:rsidR="00CA17AF" w:rsidRPr="00D12C7B">
              <w:t xml:space="preserve">  </w:t>
            </w:r>
            <w:r w:rsidRPr="00D12C7B">
              <w:rPr>
                <w:rStyle w:val="Hyperlink"/>
                <w:rFonts w:cs="Arial"/>
                <w:color w:val="000000" w:themeColor="text1"/>
              </w:rPr>
              <w:t xml:space="preserve"> </w:t>
            </w:r>
            <w:r w:rsidRPr="00D12C7B">
              <w:rPr>
                <w:rFonts w:cs="Arial"/>
                <w:color w:val="000000" w:themeColor="text1"/>
              </w:rPr>
              <w:t xml:space="preserve">  </w:t>
            </w:r>
          </w:p>
          <w:p w14:paraId="3C0844E8" w14:textId="77777777" w:rsidR="00771975" w:rsidRPr="00D12C7B" w:rsidRDefault="00771975" w:rsidP="00643F23">
            <w:pPr>
              <w:jc w:val="both"/>
              <w:rPr>
                <w:rFonts w:cs="Arial"/>
                <w:color w:val="000000" w:themeColor="text1"/>
              </w:rPr>
            </w:pPr>
          </w:p>
          <w:p w14:paraId="67397782" w14:textId="77777777" w:rsidR="00C43045" w:rsidRPr="00D12C7B" w:rsidRDefault="00C43045" w:rsidP="00C43045">
            <w:pPr>
              <w:jc w:val="both"/>
              <w:rPr>
                <w:rFonts w:cs="Arial"/>
                <w:color w:val="000000" w:themeColor="text1"/>
                <w:u w:val="single"/>
              </w:rPr>
            </w:pPr>
            <w:r w:rsidRPr="00D12C7B">
              <w:rPr>
                <w:rFonts w:cs="Arial"/>
                <w:color w:val="000000" w:themeColor="text1"/>
                <w:u w:val="single"/>
              </w:rPr>
              <w:t>University of London closure</w:t>
            </w:r>
          </w:p>
          <w:p w14:paraId="22AA9D54" w14:textId="5DC5F021" w:rsidR="00C43045" w:rsidRPr="00D12C7B" w:rsidRDefault="00C43045" w:rsidP="00C43045">
            <w:pPr>
              <w:jc w:val="both"/>
              <w:rPr>
                <w:rFonts w:cs="Arial"/>
                <w:color w:val="000000" w:themeColor="text1"/>
              </w:rPr>
            </w:pPr>
            <w:r w:rsidRPr="00D12C7B">
              <w:rPr>
                <w:rFonts w:cs="Arial"/>
                <w:color w:val="000000" w:themeColor="text1"/>
              </w:rPr>
              <w:t xml:space="preserve">The risk that the College would no longer be able to award University of London awards is minimal. If this were to happen the College would be able to use its own degree awarding powers for taught and research </w:t>
            </w:r>
            <w:r w:rsidR="00643F23" w:rsidRPr="00D12C7B">
              <w:rPr>
                <w:rFonts w:cs="Arial"/>
                <w:color w:val="000000" w:themeColor="text1"/>
              </w:rPr>
              <w:t xml:space="preserve">degrees </w:t>
            </w:r>
            <w:r w:rsidRPr="00D12C7B">
              <w:rPr>
                <w:rFonts w:cs="Arial"/>
                <w:color w:val="000000" w:themeColor="text1"/>
              </w:rPr>
              <w:t>to award Royal Holloway and Bedford New College degrees to students who would have been eligible for a Royal Holloway, University of London award.</w:t>
            </w:r>
          </w:p>
          <w:p w14:paraId="231E6EA8" w14:textId="2DF6B913" w:rsidR="00360371" w:rsidRPr="00D12C7B" w:rsidRDefault="00360371" w:rsidP="00643F23">
            <w:pPr>
              <w:jc w:val="both"/>
              <w:rPr>
                <w:rFonts w:cs="Arial"/>
                <w:i/>
              </w:rPr>
            </w:pPr>
          </w:p>
        </w:tc>
      </w:tr>
      <w:tr w:rsidR="00F11F45" w:rsidRPr="00D12C7B" w14:paraId="4FB1BD6A" w14:textId="77777777" w:rsidTr="009E4D4B">
        <w:trPr>
          <w:cantSplit w:val="0"/>
        </w:trPr>
        <w:tc>
          <w:tcPr>
            <w:tcW w:w="10226" w:type="dxa"/>
            <w:tcBorders>
              <w:bottom w:val="nil"/>
            </w:tcBorders>
          </w:tcPr>
          <w:p w14:paraId="33654917" w14:textId="2865001C" w:rsidR="00F11F45" w:rsidRPr="00D12C7B" w:rsidRDefault="00F11F45" w:rsidP="007B35DF">
            <w:pPr>
              <w:jc w:val="both"/>
              <w:rPr>
                <w:rFonts w:cs="Arial"/>
                <w:b/>
              </w:rPr>
            </w:pPr>
            <w:r w:rsidRPr="00D12C7B">
              <w:rPr>
                <w:rFonts w:cs="Arial"/>
                <w:b/>
              </w:rPr>
              <w:lastRenderedPageBreak/>
              <w:t xml:space="preserve">2. The measures that you have put in place to mitigate those risks that you consider to be </w:t>
            </w:r>
            <w:r w:rsidR="00216FAD" w:rsidRPr="00D12C7B">
              <w:rPr>
                <w:rFonts w:cs="Arial"/>
                <w:b/>
              </w:rPr>
              <w:t xml:space="preserve">reasonably </w:t>
            </w:r>
            <w:r w:rsidRPr="00D12C7B">
              <w:rPr>
                <w:rFonts w:cs="Arial"/>
                <w:b/>
              </w:rPr>
              <w:t>likely to crystallise</w:t>
            </w:r>
          </w:p>
        </w:tc>
      </w:tr>
      <w:tr w:rsidR="00F11F45" w:rsidRPr="00D12C7B" w14:paraId="7C8B482C" w14:textId="77777777" w:rsidTr="009E4D4B">
        <w:trPr>
          <w:cantSplit w:val="0"/>
        </w:trPr>
        <w:tc>
          <w:tcPr>
            <w:tcW w:w="10226" w:type="dxa"/>
            <w:tcBorders>
              <w:top w:val="nil"/>
              <w:bottom w:val="single" w:sz="4" w:space="0" w:color="auto"/>
            </w:tcBorders>
          </w:tcPr>
          <w:p w14:paraId="0B093D8F" w14:textId="0A80B2C7" w:rsidR="0024777A" w:rsidRPr="00D12C7B" w:rsidRDefault="0024777A" w:rsidP="0028311E">
            <w:pPr>
              <w:jc w:val="both"/>
              <w:rPr>
                <w:rFonts w:cs="Arial"/>
                <w:i/>
              </w:rPr>
            </w:pPr>
            <w:r w:rsidRPr="00D12C7B">
              <w:rPr>
                <w:rFonts w:cs="Arial"/>
              </w:rPr>
              <w:t xml:space="preserve">The College does not believe at this point that any of the risks identified in 1 are </w:t>
            </w:r>
            <w:r w:rsidR="00DF5323" w:rsidRPr="00D12C7B">
              <w:rPr>
                <w:rFonts w:cs="Arial"/>
              </w:rPr>
              <w:t>reasonably l</w:t>
            </w:r>
            <w:r w:rsidRPr="00D12C7B">
              <w:rPr>
                <w:rFonts w:cs="Arial"/>
              </w:rPr>
              <w:t>ikely to materialise</w:t>
            </w:r>
            <w:r w:rsidR="003646FF" w:rsidRPr="00D12C7B">
              <w:rPr>
                <w:rFonts w:cs="Arial"/>
              </w:rPr>
              <w:t xml:space="preserve"> in the immediate future</w:t>
            </w:r>
            <w:r w:rsidRPr="00D12C7B">
              <w:rPr>
                <w:rFonts w:cs="Arial"/>
              </w:rPr>
              <w:t xml:space="preserve">. </w:t>
            </w:r>
            <w:r w:rsidR="00121634" w:rsidRPr="00D12C7B">
              <w:rPr>
                <w:rFonts w:cs="Arial"/>
              </w:rPr>
              <w:t xml:space="preserve">  </w:t>
            </w:r>
            <w:r w:rsidR="00C42839" w:rsidRPr="00D12C7B">
              <w:rPr>
                <w:rFonts w:cs="Arial"/>
              </w:rPr>
              <w:t>As indicated above, i</w:t>
            </w:r>
            <w:r w:rsidR="003646FF" w:rsidRPr="00D12C7B">
              <w:rPr>
                <w:rFonts w:cs="Arial"/>
              </w:rPr>
              <w:t xml:space="preserve">n the unlikely event that </w:t>
            </w:r>
            <w:r w:rsidRPr="00D12C7B">
              <w:rPr>
                <w:rFonts w:cs="Arial"/>
              </w:rPr>
              <w:t>recruitment f</w:t>
            </w:r>
            <w:r w:rsidR="003646FF" w:rsidRPr="00D12C7B">
              <w:rPr>
                <w:rFonts w:cs="Arial"/>
              </w:rPr>
              <w:t>e</w:t>
            </w:r>
            <w:r w:rsidRPr="00D12C7B">
              <w:rPr>
                <w:rFonts w:cs="Arial"/>
              </w:rPr>
              <w:t>ll to the extent that</w:t>
            </w:r>
            <w:r w:rsidR="00DF5323" w:rsidRPr="00D12C7B">
              <w:rPr>
                <w:rFonts w:cs="Arial"/>
              </w:rPr>
              <w:t xml:space="preserve"> programmes and/ or </w:t>
            </w:r>
            <w:r w:rsidR="00C42839" w:rsidRPr="00D12C7B">
              <w:rPr>
                <w:rFonts w:cs="Arial"/>
              </w:rPr>
              <w:t xml:space="preserve">individual departments </w:t>
            </w:r>
            <w:r w:rsidR="007B35DF" w:rsidRPr="00D12C7B">
              <w:rPr>
                <w:rFonts w:cs="Arial"/>
              </w:rPr>
              <w:t>had</w:t>
            </w:r>
            <w:r w:rsidR="003646FF" w:rsidRPr="00D12C7B">
              <w:rPr>
                <w:rFonts w:cs="Arial"/>
              </w:rPr>
              <w:t xml:space="preserve"> to be </w:t>
            </w:r>
            <w:r w:rsidRPr="00D12C7B">
              <w:rPr>
                <w:rFonts w:cs="Arial"/>
              </w:rPr>
              <w:t>close</w:t>
            </w:r>
            <w:r w:rsidR="003646FF" w:rsidRPr="00D12C7B">
              <w:rPr>
                <w:rFonts w:cs="Arial"/>
              </w:rPr>
              <w:t>d</w:t>
            </w:r>
            <w:r w:rsidR="00CA17AF" w:rsidRPr="00D12C7B">
              <w:rPr>
                <w:rFonts w:cs="Arial"/>
              </w:rPr>
              <w:t xml:space="preserve"> or a collaboration collapsed,</w:t>
            </w:r>
            <w:r w:rsidR="00643F23" w:rsidRPr="00D12C7B">
              <w:rPr>
                <w:rFonts w:cs="Arial"/>
              </w:rPr>
              <w:t xml:space="preserve"> the College wou</w:t>
            </w:r>
            <w:r w:rsidR="00C14356" w:rsidRPr="00D12C7B">
              <w:rPr>
                <w:rFonts w:cs="Arial"/>
              </w:rPr>
              <w:t>l</w:t>
            </w:r>
            <w:r w:rsidR="00643F23" w:rsidRPr="00D12C7B">
              <w:rPr>
                <w:rFonts w:cs="Arial"/>
              </w:rPr>
              <w:t>d</w:t>
            </w:r>
            <w:r w:rsidRPr="00D12C7B">
              <w:rPr>
                <w:rFonts w:cs="Arial"/>
              </w:rPr>
              <w:t xml:space="preserve"> strive in the first instance to teach out the programmes to ensure that students are able to complete the degree </w:t>
            </w:r>
            <w:r w:rsidR="007B35DF" w:rsidRPr="00D12C7B">
              <w:rPr>
                <w:rFonts w:cs="Arial"/>
              </w:rPr>
              <w:t>programmes that</w:t>
            </w:r>
            <w:r w:rsidR="00121634" w:rsidRPr="00D12C7B">
              <w:rPr>
                <w:rFonts w:cs="Arial"/>
              </w:rPr>
              <w:t xml:space="preserve"> they applied to at the College.  </w:t>
            </w:r>
          </w:p>
        </w:tc>
      </w:tr>
      <w:tr w:rsidR="00F11F45" w:rsidRPr="00D12C7B" w14:paraId="31370CBD" w14:textId="77777777" w:rsidTr="009E4D4B">
        <w:tc>
          <w:tcPr>
            <w:tcW w:w="10226" w:type="dxa"/>
            <w:tcBorders>
              <w:bottom w:val="nil"/>
            </w:tcBorders>
          </w:tcPr>
          <w:p w14:paraId="065CCD27" w14:textId="6DB36158" w:rsidR="00F11F45" w:rsidRPr="00D12C7B" w:rsidRDefault="00D75C45" w:rsidP="007B35DF">
            <w:pPr>
              <w:jc w:val="both"/>
              <w:rPr>
                <w:rFonts w:cs="Arial"/>
                <w:b/>
                <w:bCs/>
              </w:rPr>
            </w:pPr>
            <w:r w:rsidRPr="00D12C7B">
              <w:br w:type="page"/>
            </w:r>
            <w:r w:rsidR="009E4D4B" w:rsidRPr="00D12C7B">
              <w:rPr>
                <w:rFonts w:cs="Arial"/>
                <w:b/>
                <w:bCs/>
              </w:rPr>
              <w:t xml:space="preserve">3. </w:t>
            </w:r>
            <w:r w:rsidR="00F11F45" w:rsidRPr="00D12C7B">
              <w:rPr>
                <w:rFonts w:cs="Arial"/>
                <w:b/>
                <w:bCs/>
              </w:rPr>
              <w:t>Information about the policy you have in place to refund tuition fees and other relevant costs to your students and to provide compensation where necessary in the event that you are no longer able to preserve continuation of study</w:t>
            </w:r>
          </w:p>
        </w:tc>
      </w:tr>
      <w:tr w:rsidR="00F11F45" w:rsidRPr="00D12C7B" w14:paraId="09427A98" w14:textId="77777777" w:rsidTr="009E4D4B">
        <w:trPr>
          <w:cantSplit w:val="0"/>
        </w:trPr>
        <w:tc>
          <w:tcPr>
            <w:tcW w:w="10226" w:type="dxa"/>
            <w:tcBorders>
              <w:top w:val="nil"/>
              <w:bottom w:val="single" w:sz="4" w:space="0" w:color="auto"/>
            </w:tcBorders>
          </w:tcPr>
          <w:p w14:paraId="7780C556" w14:textId="77777777" w:rsidR="00D36FF6" w:rsidRPr="00D12C7B" w:rsidRDefault="00D36FF6" w:rsidP="007B35DF">
            <w:pPr>
              <w:jc w:val="both"/>
              <w:rPr>
                <w:rFonts w:cs="Arial"/>
                <w:szCs w:val="22"/>
              </w:rPr>
            </w:pPr>
          </w:p>
          <w:p w14:paraId="221F666F" w14:textId="77777777" w:rsidR="00D36FF6" w:rsidRPr="00D12C7B" w:rsidRDefault="00D36FF6" w:rsidP="007B35DF">
            <w:pPr>
              <w:jc w:val="both"/>
              <w:rPr>
                <w:rFonts w:cs="Arial"/>
                <w:i/>
                <w:szCs w:val="22"/>
              </w:rPr>
            </w:pPr>
            <w:r w:rsidRPr="00D12C7B">
              <w:rPr>
                <w:rFonts w:cs="Arial"/>
                <w:szCs w:val="22"/>
              </w:rPr>
              <w:t xml:space="preserve">The College’s policy on refunds and compensation is encapsulated in the College’s </w:t>
            </w:r>
            <w:r w:rsidRPr="00D12C7B">
              <w:rPr>
                <w:rFonts w:cs="Arial"/>
                <w:i/>
                <w:szCs w:val="22"/>
              </w:rPr>
              <w:t>Student Fee Regulations.</w:t>
            </w:r>
          </w:p>
          <w:p w14:paraId="29A98346" w14:textId="77777777" w:rsidR="00D36FF6" w:rsidRPr="00D12C7B" w:rsidRDefault="00D36FF6" w:rsidP="007B35DF">
            <w:pPr>
              <w:jc w:val="both"/>
              <w:rPr>
                <w:rFonts w:cs="Arial"/>
                <w:szCs w:val="22"/>
              </w:rPr>
            </w:pPr>
          </w:p>
          <w:p w14:paraId="671DCAD3" w14:textId="77777777" w:rsidR="00D36FF6" w:rsidRPr="00D12C7B" w:rsidRDefault="00D36FF6" w:rsidP="007B35DF">
            <w:pPr>
              <w:jc w:val="both"/>
              <w:rPr>
                <w:rFonts w:cs="Arial"/>
                <w:szCs w:val="22"/>
              </w:rPr>
            </w:pPr>
            <w:r w:rsidRPr="00D12C7B">
              <w:rPr>
                <w:rFonts w:cs="Arial"/>
                <w:szCs w:val="22"/>
              </w:rPr>
              <w:t>The current version of this document is available at:</w:t>
            </w:r>
          </w:p>
          <w:p w14:paraId="7CFAFBE8" w14:textId="77777777" w:rsidR="00D36FF6" w:rsidRPr="00D12C7B" w:rsidRDefault="004907DE" w:rsidP="007B35DF">
            <w:pPr>
              <w:jc w:val="both"/>
              <w:rPr>
                <w:rFonts w:cs="Arial"/>
                <w:color w:val="005677" w:themeColor="accent5" w:themeShade="80"/>
                <w:szCs w:val="22"/>
                <w:u w:val="single"/>
              </w:rPr>
            </w:pPr>
            <w:hyperlink r:id="rId10" w:history="1">
              <w:r w:rsidR="00D36FF6" w:rsidRPr="00D12C7B">
                <w:rPr>
                  <w:rStyle w:val="Hyperlink"/>
                  <w:rFonts w:cs="Arial"/>
                  <w:color w:val="005677" w:themeColor="accent5" w:themeShade="80"/>
                  <w:szCs w:val="22"/>
                  <w:u w:val="single"/>
                </w:rPr>
                <w:t>https://www.royalholloway.ac.uk/students/assets/docs/pdf/studentfeeregulations201718-april-2017.pdf</w:t>
              </w:r>
            </w:hyperlink>
          </w:p>
          <w:p w14:paraId="439EEBC4" w14:textId="77777777" w:rsidR="00D36FF6" w:rsidRPr="00D12C7B" w:rsidRDefault="00D36FF6" w:rsidP="007B35DF">
            <w:pPr>
              <w:jc w:val="both"/>
              <w:rPr>
                <w:rFonts w:cs="Arial"/>
                <w:color w:val="00B050"/>
                <w:szCs w:val="22"/>
              </w:rPr>
            </w:pPr>
          </w:p>
          <w:p w14:paraId="42C79B0A" w14:textId="3F3808BB" w:rsidR="00D36FF6" w:rsidRPr="00D12C7B" w:rsidRDefault="00D36FF6" w:rsidP="007B35DF">
            <w:pPr>
              <w:jc w:val="both"/>
              <w:rPr>
                <w:rFonts w:cs="Arial"/>
                <w:szCs w:val="22"/>
              </w:rPr>
            </w:pPr>
            <w:r w:rsidRPr="00D12C7B">
              <w:rPr>
                <w:rFonts w:cs="Arial"/>
                <w:szCs w:val="22"/>
              </w:rPr>
              <w:t xml:space="preserve">The Regulations have been reviewed for the 2018-19 to contain additional information on the refunding of fees and circumstances under which compensation may be granted. The revised </w:t>
            </w:r>
            <w:r w:rsidRPr="00D12C7B">
              <w:rPr>
                <w:rFonts w:cs="Arial"/>
                <w:i/>
                <w:szCs w:val="22"/>
              </w:rPr>
              <w:t>‘Refund of Fees’</w:t>
            </w:r>
            <w:r w:rsidRPr="00D12C7B">
              <w:rPr>
                <w:rFonts w:cs="Arial"/>
                <w:szCs w:val="22"/>
              </w:rPr>
              <w:t xml:space="preserve"> section is provided below.</w:t>
            </w:r>
            <w:r w:rsidR="00C14356" w:rsidRPr="00D12C7B">
              <w:rPr>
                <w:rFonts w:cs="Arial"/>
                <w:szCs w:val="22"/>
              </w:rPr>
              <w:t xml:space="preserve"> </w:t>
            </w:r>
            <w:r w:rsidR="00A54C99">
              <w:rPr>
                <w:rFonts w:cs="Arial"/>
                <w:szCs w:val="22"/>
              </w:rPr>
              <w:t>The College has cash reserve</w:t>
            </w:r>
            <w:r w:rsidR="00944C29">
              <w:rPr>
                <w:rFonts w:cs="Arial"/>
                <w:szCs w:val="22"/>
              </w:rPr>
              <w:t>s of £22 million,</w:t>
            </w:r>
            <w:r w:rsidR="00A54C99">
              <w:rPr>
                <w:rFonts w:cs="Arial"/>
                <w:szCs w:val="22"/>
              </w:rPr>
              <w:t xml:space="preserve"> at 31 July 2018, which would be sufficient to provide refunds and compensation for students in all foreseeable circumstances.</w:t>
            </w:r>
          </w:p>
          <w:p w14:paraId="62C29438" w14:textId="77777777" w:rsidR="00121E61" w:rsidRPr="00D12C7B" w:rsidRDefault="00121E61" w:rsidP="007B35DF">
            <w:pPr>
              <w:jc w:val="both"/>
              <w:rPr>
                <w:rFonts w:cs="Arial"/>
                <w:i/>
                <w:szCs w:val="22"/>
              </w:rPr>
            </w:pPr>
          </w:p>
          <w:p w14:paraId="4DC03262" w14:textId="77777777" w:rsidR="00D36FF6" w:rsidRPr="00D12C7B" w:rsidRDefault="00D36FF6" w:rsidP="007B35DF">
            <w:pPr>
              <w:autoSpaceDE w:val="0"/>
              <w:autoSpaceDN w:val="0"/>
              <w:adjustRightInd w:val="0"/>
              <w:jc w:val="both"/>
              <w:rPr>
                <w:rFonts w:cs="Arial"/>
                <w:color w:val="000000"/>
                <w:szCs w:val="22"/>
              </w:rPr>
            </w:pPr>
            <w:bookmarkStart w:id="4" w:name="Refunds"/>
            <w:r w:rsidRPr="00D12C7B">
              <w:rPr>
                <w:rFonts w:cs="Arial"/>
                <w:b/>
                <w:bCs/>
                <w:color w:val="000000"/>
                <w:szCs w:val="22"/>
              </w:rPr>
              <w:t xml:space="preserve">Refund of Fees </w:t>
            </w:r>
          </w:p>
          <w:bookmarkEnd w:id="4"/>
          <w:p w14:paraId="6159B084" w14:textId="77777777" w:rsidR="00D36FF6" w:rsidRPr="00D12C7B" w:rsidRDefault="00D36FF6" w:rsidP="007B35DF">
            <w:pPr>
              <w:autoSpaceDE w:val="0"/>
              <w:autoSpaceDN w:val="0"/>
              <w:adjustRightInd w:val="0"/>
              <w:jc w:val="both"/>
              <w:rPr>
                <w:rFonts w:cs="Arial"/>
                <w:color w:val="000000"/>
                <w:szCs w:val="22"/>
              </w:rPr>
            </w:pPr>
          </w:p>
          <w:p w14:paraId="48D5ACC4" w14:textId="77777777" w:rsidR="00D36FF6" w:rsidRPr="00D12C7B" w:rsidRDefault="00D36FF6" w:rsidP="007B35DF">
            <w:pPr>
              <w:autoSpaceDE w:val="0"/>
              <w:autoSpaceDN w:val="0"/>
              <w:adjustRightInd w:val="0"/>
              <w:jc w:val="both"/>
              <w:rPr>
                <w:rFonts w:cs="Arial"/>
                <w:color w:val="000000"/>
                <w:szCs w:val="22"/>
              </w:rPr>
            </w:pPr>
            <w:r w:rsidRPr="00D12C7B">
              <w:rPr>
                <w:rFonts w:cs="Arial"/>
                <w:color w:val="000000"/>
                <w:szCs w:val="22"/>
              </w:rPr>
              <w:t xml:space="preserve">59. Applicant tuition deposits will only be refunded in line with the College’s Admissions policy and procedures </w:t>
            </w:r>
          </w:p>
          <w:p w14:paraId="4851BBDC" w14:textId="77777777" w:rsidR="00D36FF6" w:rsidRPr="00D12C7B" w:rsidRDefault="00D36FF6" w:rsidP="007B35DF">
            <w:pPr>
              <w:autoSpaceDE w:val="0"/>
              <w:autoSpaceDN w:val="0"/>
              <w:adjustRightInd w:val="0"/>
              <w:jc w:val="both"/>
              <w:rPr>
                <w:rFonts w:cs="Arial"/>
                <w:color w:val="000000"/>
                <w:szCs w:val="22"/>
              </w:rPr>
            </w:pPr>
          </w:p>
          <w:p w14:paraId="02A0CCE7" w14:textId="77777777" w:rsidR="00D36FF6" w:rsidRPr="00D12C7B" w:rsidRDefault="00D36FF6" w:rsidP="007B35DF">
            <w:pPr>
              <w:pStyle w:val="ListParagraph"/>
              <w:numPr>
                <w:ilvl w:val="0"/>
                <w:numId w:val="31"/>
              </w:numPr>
              <w:autoSpaceDE w:val="0"/>
              <w:autoSpaceDN w:val="0"/>
              <w:adjustRightInd w:val="0"/>
              <w:spacing w:after="0" w:line="240" w:lineRule="auto"/>
              <w:jc w:val="both"/>
              <w:rPr>
                <w:rFonts w:ascii="Arial" w:hAnsi="Arial" w:cs="Arial"/>
                <w:color w:val="005677" w:themeColor="accent5" w:themeShade="80"/>
                <w:szCs w:val="22"/>
                <w:u w:val="single"/>
              </w:rPr>
            </w:pPr>
            <w:r w:rsidRPr="00D12C7B">
              <w:rPr>
                <w:rFonts w:ascii="Arial" w:hAnsi="Arial" w:cs="Arial"/>
                <w:color w:val="005677" w:themeColor="accent5" w:themeShade="80"/>
                <w:szCs w:val="22"/>
                <w:u w:val="single"/>
              </w:rPr>
              <w:t xml:space="preserve">View the policy that applies to Undergraduates </w:t>
            </w:r>
            <w:hyperlink r:id="rId11" w:history="1">
              <w:r w:rsidRPr="00D12C7B">
                <w:rPr>
                  <w:rStyle w:val="Hyperlink"/>
                  <w:rFonts w:ascii="Arial" w:hAnsi="Arial" w:cs="Arial"/>
                  <w:color w:val="005677" w:themeColor="accent5" w:themeShade="80"/>
                  <w:szCs w:val="22"/>
                  <w:u w:val="single"/>
                </w:rPr>
                <w:t>here</w:t>
              </w:r>
            </w:hyperlink>
          </w:p>
          <w:p w14:paraId="6DE1758F" w14:textId="77777777" w:rsidR="00D36FF6" w:rsidRPr="00D12C7B" w:rsidRDefault="00D36FF6" w:rsidP="007B35DF">
            <w:pPr>
              <w:pStyle w:val="ListParagraph"/>
              <w:numPr>
                <w:ilvl w:val="0"/>
                <w:numId w:val="31"/>
              </w:numPr>
              <w:autoSpaceDE w:val="0"/>
              <w:autoSpaceDN w:val="0"/>
              <w:adjustRightInd w:val="0"/>
              <w:spacing w:after="0" w:line="240" w:lineRule="auto"/>
              <w:jc w:val="both"/>
              <w:rPr>
                <w:rFonts w:ascii="Arial" w:hAnsi="Arial" w:cs="Arial"/>
                <w:color w:val="005677" w:themeColor="accent5" w:themeShade="80"/>
                <w:szCs w:val="22"/>
                <w:u w:val="single"/>
              </w:rPr>
            </w:pPr>
            <w:r w:rsidRPr="00D12C7B">
              <w:rPr>
                <w:rFonts w:ascii="Arial" w:hAnsi="Arial" w:cs="Arial"/>
                <w:color w:val="005677" w:themeColor="accent5" w:themeShade="80"/>
                <w:szCs w:val="22"/>
                <w:u w:val="single"/>
              </w:rPr>
              <w:t xml:space="preserve">View the policy that applies to Postgraduates </w:t>
            </w:r>
            <w:hyperlink r:id="rId12" w:history="1">
              <w:r w:rsidRPr="00D12C7B">
                <w:rPr>
                  <w:rStyle w:val="Hyperlink"/>
                  <w:rFonts w:ascii="Arial" w:hAnsi="Arial" w:cs="Arial"/>
                  <w:color w:val="005677" w:themeColor="accent5" w:themeShade="80"/>
                  <w:szCs w:val="22"/>
                  <w:u w:val="single"/>
                </w:rPr>
                <w:t>here</w:t>
              </w:r>
            </w:hyperlink>
          </w:p>
          <w:p w14:paraId="7D67DF44" w14:textId="77777777" w:rsidR="00D36FF6" w:rsidRPr="00D12C7B" w:rsidRDefault="00D36FF6" w:rsidP="007B35DF">
            <w:pPr>
              <w:autoSpaceDE w:val="0"/>
              <w:autoSpaceDN w:val="0"/>
              <w:adjustRightInd w:val="0"/>
              <w:jc w:val="both"/>
              <w:rPr>
                <w:rFonts w:cs="Arial"/>
                <w:color w:val="005677" w:themeColor="accent5" w:themeShade="80"/>
                <w:szCs w:val="22"/>
              </w:rPr>
            </w:pPr>
          </w:p>
          <w:p w14:paraId="14ED2F43" w14:textId="77777777" w:rsidR="00D36FF6" w:rsidRPr="00D12C7B" w:rsidRDefault="00D36FF6" w:rsidP="007B35DF">
            <w:pPr>
              <w:autoSpaceDE w:val="0"/>
              <w:autoSpaceDN w:val="0"/>
              <w:adjustRightInd w:val="0"/>
              <w:jc w:val="both"/>
              <w:rPr>
                <w:rFonts w:cs="Arial"/>
                <w:color w:val="000000"/>
                <w:szCs w:val="22"/>
              </w:rPr>
            </w:pPr>
            <w:r w:rsidRPr="00D12C7B">
              <w:rPr>
                <w:rFonts w:cs="Arial"/>
                <w:color w:val="000000"/>
                <w:szCs w:val="22"/>
              </w:rPr>
              <w:t xml:space="preserve">60. Fee refunds occurring following withdrawal or interruption of study will only be actioned once the appropriate form has been completed by the student and department and processed into the student records system by Student Administration. </w:t>
            </w:r>
          </w:p>
          <w:p w14:paraId="6A3AE50B" w14:textId="77777777" w:rsidR="00D36FF6" w:rsidRPr="00D12C7B" w:rsidRDefault="00D36FF6" w:rsidP="007B35DF">
            <w:pPr>
              <w:autoSpaceDE w:val="0"/>
              <w:autoSpaceDN w:val="0"/>
              <w:adjustRightInd w:val="0"/>
              <w:jc w:val="both"/>
              <w:rPr>
                <w:rFonts w:cs="Arial"/>
                <w:color w:val="000000"/>
                <w:szCs w:val="22"/>
              </w:rPr>
            </w:pPr>
          </w:p>
          <w:p w14:paraId="7071D0AD" w14:textId="77777777" w:rsidR="00D36FF6" w:rsidRPr="00D12C7B" w:rsidRDefault="00D36FF6" w:rsidP="007B35DF">
            <w:pPr>
              <w:autoSpaceDE w:val="0"/>
              <w:autoSpaceDN w:val="0"/>
              <w:adjustRightInd w:val="0"/>
              <w:jc w:val="both"/>
              <w:rPr>
                <w:rFonts w:cs="Arial"/>
                <w:color w:val="FF0000"/>
                <w:szCs w:val="22"/>
              </w:rPr>
            </w:pPr>
            <w:r w:rsidRPr="00D12C7B">
              <w:rPr>
                <w:rFonts w:cs="Arial"/>
                <w:color w:val="000000"/>
                <w:szCs w:val="22"/>
              </w:rPr>
              <w:t xml:space="preserve">61. Refunds will be made to the original payer (this includes sponsors) and via the original method of payment. Refunds will not be issued in cash or by cheque. Any payments originating from these methods will be refunded by </w:t>
            </w:r>
            <w:r w:rsidRPr="00D12C7B">
              <w:rPr>
                <w:rFonts w:cs="Arial"/>
                <w:szCs w:val="22"/>
              </w:rPr>
              <w:t>direct bank transfer. Any payments originating from the Student Loans Company will be reimbursed directly to the SLC.</w:t>
            </w:r>
          </w:p>
          <w:p w14:paraId="595F7C73" w14:textId="77777777" w:rsidR="00D36FF6" w:rsidRPr="00D12C7B" w:rsidRDefault="00D36FF6" w:rsidP="007B35DF">
            <w:pPr>
              <w:autoSpaceDE w:val="0"/>
              <w:autoSpaceDN w:val="0"/>
              <w:adjustRightInd w:val="0"/>
              <w:jc w:val="both"/>
              <w:rPr>
                <w:rFonts w:cs="Arial"/>
                <w:color w:val="000000"/>
                <w:szCs w:val="22"/>
              </w:rPr>
            </w:pPr>
          </w:p>
          <w:p w14:paraId="3F362E81" w14:textId="77777777" w:rsidR="00D36FF6" w:rsidRPr="00D12C7B" w:rsidRDefault="00D36FF6" w:rsidP="007B35DF">
            <w:pPr>
              <w:autoSpaceDE w:val="0"/>
              <w:autoSpaceDN w:val="0"/>
              <w:adjustRightInd w:val="0"/>
              <w:jc w:val="both"/>
              <w:rPr>
                <w:rFonts w:cs="Arial"/>
                <w:color w:val="000000"/>
                <w:szCs w:val="22"/>
              </w:rPr>
            </w:pPr>
            <w:r w:rsidRPr="00D12C7B">
              <w:rPr>
                <w:rFonts w:cs="Arial"/>
                <w:color w:val="000000"/>
                <w:szCs w:val="22"/>
              </w:rPr>
              <w:t xml:space="preserve">62. Overpayments of fees will, in all cases, be offset against future due invoices held on the student’s fee account before any refund will be considered. </w:t>
            </w:r>
          </w:p>
          <w:p w14:paraId="1CA2E5D4" w14:textId="77777777" w:rsidR="00D36FF6" w:rsidRPr="00D12C7B" w:rsidRDefault="00D36FF6" w:rsidP="007B35DF">
            <w:pPr>
              <w:autoSpaceDE w:val="0"/>
              <w:autoSpaceDN w:val="0"/>
              <w:adjustRightInd w:val="0"/>
              <w:jc w:val="both"/>
              <w:rPr>
                <w:rFonts w:cs="Arial"/>
                <w:color w:val="000000"/>
                <w:szCs w:val="22"/>
              </w:rPr>
            </w:pPr>
          </w:p>
          <w:p w14:paraId="3057BD20" w14:textId="77777777" w:rsidR="00D36FF6" w:rsidRPr="00D12C7B" w:rsidRDefault="00D36FF6" w:rsidP="007B35DF">
            <w:pPr>
              <w:autoSpaceDE w:val="0"/>
              <w:autoSpaceDN w:val="0"/>
              <w:adjustRightInd w:val="0"/>
              <w:jc w:val="both"/>
              <w:rPr>
                <w:rFonts w:cs="Arial"/>
                <w:color w:val="000000"/>
                <w:szCs w:val="22"/>
              </w:rPr>
            </w:pPr>
            <w:r w:rsidRPr="00D12C7B">
              <w:rPr>
                <w:rFonts w:cs="Arial"/>
                <w:color w:val="000000"/>
                <w:szCs w:val="22"/>
              </w:rPr>
              <w:t>63. Students may be asked for documentary evidence or confirmation of bank/payment card details to support a refund request. All refund requests should be made by email to the</w:t>
            </w:r>
          </w:p>
          <w:p w14:paraId="30FF3690" w14:textId="77777777" w:rsidR="00D36FF6" w:rsidRPr="00D12C7B" w:rsidRDefault="004907DE" w:rsidP="007B35DF">
            <w:pPr>
              <w:autoSpaceDE w:val="0"/>
              <w:autoSpaceDN w:val="0"/>
              <w:adjustRightInd w:val="0"/>
              <w:jc w:val="both"/>
              <w:rPr>
                <w:rFonts w:cs="Arial"/>
                <w:color w:val="000000"/>
                <w:szCs w:val="22"/>
              </w:rPr>
            </w:pPr>
            <w:hyperlink r:id="rId13" w:history="1">
              <w:r w:rsidR="00D36FF6" w:rsidRPr="00D12C7B">
                <w:rPr>
                  <w:rStyle w:val="Hyperlink"/>
                  <w:rFonts w:cs="Arial"/>
                  <w:szCs w:val="22"/>
                </w:rPr>
                <w:t>Student Fees Office</w:t>
              </w:r>
            </w:hyperlink>
            <w:r w:rsidR="00D36FF6" w:rsidRPr="00D12C7B">
              <w:rPr>
                <w:rFonts w:cs="Arial"/>
                <w:color w:val="000000"/>
                <w:szCs w:val="22"/>
              </w:rPr>
              <w:t xml:space="preserve"> </w:t>
            </w:r>
          </w:p>
          <w:p w14:paraId="49DD0628" w14:textId="77777777" w:rsidR="00D36FF6" w:rsidRPr="00D12C7B" w:rsidRDefault="00D36FF6" w:rsidP="007B35DF">
            <w:pPr>
              <w:autoSpaceDE w:val="0"/>
              <w:autoSpaceDN w:val="0"/>
              <w:adjustRightInd w:val="0"/>
              <w:jc w:val="both"/>
              <w:rPr>
                <w:rFonts w:cs="Arial"/>
                <w:color w:val="000000"/>
                <w:szCs w:val="22"/>
              </w:rPr>
            </w:pPr>
          </w:p>
          <w:p w14:paraId="3F421030" w14:textId="77777777" w:rsidR="00D36FF6" w:rsidRPr="00D12C7B" w:rsidRDefault="00D36FF6" w:rsidP="007B35DF">
            <w:pPr>
              <w:autoSpaceDE w:val="0"/>
              <w:autoSpaceDN w:val="0"/>
              <w:adjustRightInd w:val="0"/>
              <w:jc w:val="both"/>
              <w:rPr>
                <w:rFonts w:cs="Arial"/>
                <w:color w:val="000000"/>
                <w:szCs w:val="22"/>
              </w:rPr>
            </w:pPr>
            <w:r w:rsidRPr="00D12C7B">
              <w:rPr>
                <w:rFonts w:cs="Arial"/>
                <w:color w:val="000000"/>
                <w:szCs w:val="22"/>
              </w:rPr>
              <w:t>The Student Fees Office aim to process all refund requests between 5- 15 working days.</w:t>
            </w:r>
          </w:p>
          <w:p w14:paraId="6473CB3D" w14:textId="77777777" w:rsidR="00D36FF6" w:rsidRPr="00D12C7B" w:rsidRDefault="00D36FF6" w:rsidP="007B35DF">
            <w:pPr>
              <w:autoSpaceDE w:val="0"/>
              <w:autoSpaceDN w:val="0"/>
              <w:adjustRightInd w:val="0"/>
              <w:jc w:val="both"/>
              <w:rPr>
                <w:rFonts w:cs="Arial"/>
                <w:color w:val="000000"/>
                <w:szCs w:val="22"/>
              </w:rPr>
            </w:pPr>
          </w:p>
          <w:p w14:paraId="4948E024" w14:textId="77777777" w:rsidR="00D36FF6" w:rsidRPr="00D12C7B" w:rsidRDefault="00D36FF6" w:rsidP="007B35DF">
            <w:pPr>
              <w:autoSpaceDE w:val="0"/>
              <w:autoSpaceDN w:val="0"/>
              <w:adjustRightInd w:val="0"/>
              <w:jc w:val="both"/>
              <w:rPr>
                <w:rFonts w:cs="Arial"/>
                <w:color w:val="000000"/>
                <w:szCs w:val="22"/>
              </w:rPr>
            </w:pPr>
            <w:r w:rsidRPr="00D12C7B">
              <w:rPr>
                <w:rFonts w:cs="Arial"/>
                <w:color w:val="000000"/>
                <w:szCs w:val="22"/>
              </w:rPr>
              <w:t xml:space="preserve">64. If tuition fees paid initially by the student are subsequently paid in full (as cleared funds) by another person or body, the refund will normally be made to the student </w:t>
            </w:r>
          </w:p>
          <w:p w14:paraId="0BCB9E06" w14:textId="77777777" w:rsidR="00D36FF6" w:rsidRPr="00D12C7B" w:rsidRDefault="00D36FF6" w:rsidP="007B35DF">
            <w:pPr>
              <w:autoSpaceDE w:val="0"/>
              <w:autoSpaceDN w:val="0"/>
              <w:adjustRightInd w:val="0"/>
              <w:jc w:val="both"/>
              <w:rPr>
                <w:rFonts w:cs="Arial"/>
                <w:color w:val="000000"/>
                <w:szCs w:val="22"/>
              </w:rPr>
            </w:pPr>
          </w:p>
          <w:p w14:paraId="1D79F099" w14:textId="77777777" w:rsidR="00D36FF6" w:rsidRPr="00D12C7B" w:rsidRDefault="00D36FF6" w:rsidP="007B35DF">
            <w:pPr>
              <w:autoSpaceDE w:val="0"/>
              <w:autoSpaceDN w:val="0"/>
              <w:adjustRightInd w:val="0"/>
              <w:jc w:val="both"/>
              <w:rPr>
                <w:rFonts w:cs="Arial"/>
                <w:color w:val="000000"/>
                <w:szCs w:val="22"/>
              </w:rPr>
            </w:pPr>
            <w:r w:rsidRPr="00D12C7B">
              <w:rPr>
                <w:rFonts w:cs="Arial"/>
                <w:color w:val="000000"/>
                <w:szCs w:val="22"/>
              </w:rPr>
              <w:t xml:space="preserve">65. Overpayment arising as a result of a Professional and Career Development Loan will be refunded to the student and not to the loan provider, unless the loan provider makes a direct request for settlement. It is recommended students consider using this refund towards repayment of this loan. </w:t>
            </w:r>
          </w:p>
          <w:p w14:paraId="6A0FDBB2" w14:textId="77777777" w:rsidR="00D36FF6" w:rsidRPr="00D12C7B" w:rsidRDefault="00D36FF6" w:rsidP="007B35DF">
            <w:pPr>
              <w:autoSpaceDE w:val="0"/>
              <w:autoSpaceDN w:val="0"/>
              <w:adjustRightInd w:val="0"/>
              <w:jc w:val="both"/>
              <w:rPr>
                <w:rFonts w:cs="Arial"/>
                <w:color w:val="000000"/>
                <w:szCs w:val="22"/>
              </w:rPr>
            </w:pPr>
          </w:p>
          <w:p w14:paraId="7D6C2BC1" w14:textId="77777777" w:rsidR="00D36FF6" w:rsidRPr="00D12C7B" w:rsidRDefault="00D36FF6" w:rsidP="007B35DF">
            <w:pPr>
              <w:pStyle w:val="Default"/>
              <w:jc w:val="both"/>
              <w:rPr>
                <w:rFonts w:ascii="Arial" w:hAnsi="Arial"/>
                <w:szCs w:val="22"/>
              </w:rPr>
            </w:pPr>
          </w:p>
          <w:p w14:paraId="39D78120" w14:textId="77777777" w:rsidR="00D36FF6" w:rsidRPr="00D12C7B" w:rsidRDefault="00D36FF6" w:rsidP="007B35DF">
            <w:pPr>
              <w:pStyle w:val="Default"/>
              <w:jc w:val="both"/>
              <w:rPr>
                <w:rFonts w:ascii="Arial" w:hAnsi="Arial"/>
                <w:szCs w:val="22"/>
              </w:rPr>
            </w:pPr>
            <w:r w:rsidRPr="00D12C7B">
              <w:rPr>
                <w:rFonts w:ascii="Arial" w:hAnsi="Arial"/>
                <w:szCs w:val="22"/>
              </w:rPr>
              <w:t xml:space="preserve">66. Any refund arising from a US Federal Loan will be administered in accordance within the US Department of Education or loan provider guidelines. View the guideline </w:t>
            </w:r>
            <w:hyperlink r:id="rId14" w:history="1">
              <w:r w:rsidRPr="00D12C7B">
                <w:rPr>
                  <w:rStyle w:val="Hyperlink"/>
                  <w:rFonts w:ascii="Arial" w:hAnsi="Arial"/>
                  <w:szCs w:val="22"/>
                </w:rPr>
                <w:t>here</w:t>
              </w:r>
            </w:hyperlink>
          </w:p>
          <w:p w14:paraId="1B8185C3" w14:textId="77777777" w:rsidR="00D36FF6" w:rsidRPr="00D12C7B" w:rsidRDefault="00D36FF6" w:rsidP="007B35DF">
            <w:pPr>
              <w:pStyle w:val="Default"/>
              <w:jc w:val="both"/>
              <w:rPr>
                <w:rFonts w:ascii="Arial" w:hAnsi="Arial"/>
                <w:szCs w:val="22"/>
              </w:rPr>
            </w:pPr>
          </w:p>
          <w:p w14:paraId="52F55B36" w14:textId="77777777" w:rsidR="00D36FF6" w:rsidRPr="00D12C7B" w:rsidRDefault="00D36FF6" w:rsidP="007B35DF">
            <w:pPr>
              <w:autoSpaceDE w:val="0"/>
              <w:autoSpaceDN w:val="0"/>
              <w:adjustRightInd w:val="0"/>
              <w:jc w:val="both"/>
              <w:rPr>
                <w:rFonts w:cs="Arial"/>
                <w:color w:val="000000"/>
                <w:szCs w:val="22"/>
              </w:rPr>
            </w:pPr>
          </w:p>
          <w:p w14:paraId="29B90A80" w14:textId="77777777" w:rsidR="00D36FF6" w:rsidRPr="00D12C7B" w:rsidRDefault="00D36FF6" w:rsidP="007B35DF">
            <w:pPr>
              <w:autoSpaceDE w:val="0"/>
              <w:autoSpaceDN w:val="0"/>
              <w:adjustRightInd w:val="0"/>
              <w:jc w:val="both"/>
              <w:rPr>
                <w:rFonts w:cs="Arial"/>
                <w:color w:val="000000"/>
                <w:szCs w:val="22"/>
              </w:rPr>
            </w:pPr>
            <w:r w:rsidRPr="00D12C7B">
              <w:rPr>
                <w:rFonts w:cs="Arial"/>
                <w:color w:val="000000"/>
                <w:szCs w:val="22"/>
              </w:rPr>
              <w:t xml:space="preserve">67. At certain times, the Student Fees Office may initiate refunds on accounts where no further invoices fall due. Email notification will be sent to the ‘@royalholloway.ac.uk’ address following the refund. </w:t>
            </w:r>
          </w:p>
          <w:p w14:paraId="3AD488D9" w14:textId="77777777" w:rsidR="00D36FF6" w:rsidRPr="00D12C7B" w:rsidRDefault="00D36FF6" w:rsidP="007B35DF">
            <w:pPr>
              <w:autoSpaceDE w:val="0"/>
              <w:autoSpaceDN w:val="0"/>
              <w:adjustRightInd w:val="0"/>
              <w:jc w:val="both"/>
              <w:rPr>
                <w:rFonts w:cs="Arial"/>
                <w:color w:val="000000"/>
                <w:szCs w:val="22"/>
              </w:rPr>
            </w:pPr>
          </w:p>
          <w:p w14:paraId="0692B717" w14:textId="77777777" w:rsidR="00D36FF6" w:rsidRPr="00D12C7B" w:rsidRDefault="00D36FF6" w:rsidP="007B35DF">
            <w:pPr>
              <w:autoSpaceDE w:val="0"/>
              <w:autoSpaceDN w:val="0"/>
              <w:adjustRightInd w:val="0"/>
              <w:jc w:val="both"/>
              <w:rPr>
                <w:rFonts w:cs="Arial"/>
                <w:szCs w:val="22"/>
              </w:rPr>
            </w:pPr>
            <w:r w:rsidRPr="00D12C7B">
              <w:rPr>
                <w:rFonts w:cs="Arial"/>
                <w:color w:val="000000"/>
                <w:szCs w:val="22"/>
              </w:rPr>
              <w:t xml:space="preserve">68. </w:t>
            </w:r>
            <w:r w:rsidRPr="00D12C7B">
              <w:rPr>
                <w:rFonts w:cs="Arial"/>
                <w:szCs w:val="22"/>
              </w:rPr>
              <w:t xml:space="preserve">Royal Holloway reserves the right to offset overpayments on the student account against invoices due in the subsequent academic year. </w:t>
            </w:r>
          </w:p>
          <w:p w14:paraId="4586A10E" w14:textId="77777777" w:rsidR="00D36FF6" w:rsidRPr="00D12C7B" w:rsidRDefault="00D36FF6" w:rsidP="007B35DF">
            <w:pPr>
              <w:autoSpaceDE w:val="0"/>
              <w:autoSpaceDN w:val="0"/>
              <w:adjustRightInd w:val="0"/>
              <w:jc w:val="both"/>
              <w:rPr>
                <w:rFonts w:cs="Arial"/>
                <w:szCs w:val="22"/>
              </w:rPr>
            </w:pPr>
          </w:p>
          <w:p w14:paraId="42E2CA26" w14:textId="655E5ECD" w:rsidR="00AF3221" w:rsidRPr="00D12C7B" w:rsidRDefault="00AF3221" w:rsidP="00AF3221">
            <w:pPr>
              <w:autoSpaceDE w:val="0"/>
              <w:autoSpaceDN w:val="0"/>
              <w:adjustRightInd w:val="0"/>
              <w:jc w:val="both"/>
              <w:rPr>
                <w:rFonts w:cs="Arial"/>
                <w:b/>
                <w:szCs w:val="22"/>
              </w:rPr>
            </w:pPr>
            <w:r w:rsidRPr="00681458">
              <w:rPr>
                <w:rFonts w:cs="Arial"/>
                <w:szCs w:val="22"/>
              </w:rPr>
              <w:t>69.</w:t>
            </w:r>
            <w:r>
              <w:rPr>
                <w:rFonts w:cs="Arial"/>
                <w:b/>
                <w:szCs w:val="22"/>
              </w:rPr>
              <w:t xml:space="preserve"> Financial Effect of Course Closure </w:t>
            </w:r>
          </w:p>
          <w:p w14:paraId="1171E661" w14:textId="77777777" w:rsidR="00AF3221" w:rsidRPr="00D12C7B" w:rsidRDefault="00AF3221" w:rsidP="00AF3221">
            <w:pPr>
              <w:autoSpaceDE w:val="0"/>
              <w:autoSpaceDN w:val="0"/>
              <w:adjustRightInd w:val="0"/>
              <w:jc w:val="both"/>
              <w:rPr>
                <w:rFonts w:cs="Arial"/>
                <w:b/>
                <w:szCs w:val="22"/>
              </w:rPr>
            </w:pPr>
          </w:p>
          <w:p w14:paraId="599FD128" w14:textId="77777777" w:rsidR="00AF3221" w:rsidRDefault="00AF3221" w:rsidP="00AF3221">
            <w:pPr>
              <w:autoSpaceDE w:val="0"/>
              <w:autoSpaceDN w:val="0"/>
              <w:adjustRightInd w:val="0"/>
              <w:jc w:val="both"/>
              <w:rPr>
                <w:rFonts w:cs="Arial"/>
                <w:szCs w:val="22"/>
              </w:rPr>
            </w:pPr>
            <w:r>
              <w:rPr>
                <w:rFonts w:cs="Arial"/>
                <w:szCs w:val="22"/>
              </w:rPr>
              <w:t>Where the College closes a programme and moves students to an alternative campus or institution t</w:t>
            </w:r>
            <w:r w:rsidRPr="00D12C7B">
              <w:rPr>
                <w:rFonts w:cs="Arial"/>
                <w:szCs w:val="22"/>
              </w:rPr>
              <w:t xml:space="preserve">he College will consider </w:t>
            </w:r>
            <w:r>
              <w:rPr>
                <w:rFonts w:cs="Arial"/>
                <w:szCs w:val="22"/>
              </w:rPr>
              <w:t xml:space="preserve">reimbursing students This </w:t>
            </w:r>
            <w:r w:rsidRPr="00D12C7B">
              <w:rPr>
                <w:rFonts w:cs="Arial"/>
                <w:szCs w:val="22"/>
              </w:rPr>
              <w:t>will be determined on a case by case basis and will depend on the circumstances and in line with any mitigation offerings which will allow students to complete their period of study.</w:t>
            </w:r>
          </w:p>
          <w:p w14:paraId="6327D507" w14:textId="77777777" w:rsidR="00AF3221" w:rsidRPr="00D12C7B" w:rsidRDefault="00AF3221" w:rsidP="00AF3221">
            <w:pPr>
              <w:autoSpaceDE w:val="0"/>
              <w:autoSpaceDN w:val="0"/>
              <w:adjustRightInd w:val="0"/>
              <w:jc w:val="both"/>
              <w:rPr>
                <w:rFonts w:cs="Arial"/>
                <w:szCs w:val="22"/>
              </w:rPr>
            </w:pPr>
          </w:p>
          <w:p w14:paraId="0A246428" w14:textId="77777777" w:rsidR="00AF3221" w:rsidRPr="00D12C7B" w:rsidRDefault="00AF3221" w:rsidP="00AF3221">
            <w:pPr>
              <w:autoSpaceDE w:val="0"/>
              <w:autoSpaceDN w:val="0"/>
              <w:adjustRightInd w:val="0"/>
              <w:jc w:val="both"/>
              <w:rPr>
                <w:rFonts w:cs="Arial"/>
                <w:szCs w:val="22"/>
              </w:rPr>
            </w:pPr>
            <w:r w:rsidRPr="00AB26BC">
              <w:rPr>
                <w:rFonts w:cs="Arial"/>
                <w:szCs w:val="22"/>
              </w:rPr>
              <w:t>Re-imbursement</w:t>
            </w:r>
            <w:r w:rsidRPr="00D12C7B">
              <w:rPr>
                <w:rFonts w:cs="Arial"/>
                <w:szCs w:val="22"/>
              </w:rPr>
              <w:t xml:space="preserve"> may be given in relation to the following:</w:t>
            </w:r>
          </w:p>
          <w:p w14:paraId="31231A9D" w14:textId="77777777" w:rsidR="00AF3221" w:rsidRPr="00D12C7B" w:rsidRDefault="00AF3221" w:rsidP="00AF3221">
            <w:pPr>
              <w:pStyle w:val="ListParagraph"/>
              <w:numPr>
                <w:ilvl w:val="0"/>
                <w:numId w:val="30"/>
              </w:numPr>
              <w:autoSpaceDE w:val="0"/>
              <w:autoSpaceDN w:val="0"/>
              <w:adjustRightInd w:val="0"/>
              <w:spacing w:after="0" w:line="240" w:lineRule="auto"/>
              <w:jc w:val="both"/>
              <w:rPr>
                <w:rFonts w:ascii="Arial" w:hAnsi="Arial" w:cs="Arial"/>
                <w:szCs w:val="22"/>
              </w:rPr>
            </w:pPr>
            <w:r>
              <w:rPr>
                <w:rFonts w:ascii="Arial" w:hAnsi="Arial" w:cs="Arial"/>
                <w:szCs w:val="22"/>
              </w:rPr>
              <w:t>Additional t</w:t>
            </w:r>
            <w:r w:rsidRPr="00D12C7B">
              <w:rPr>
                <w:rFonts w:ascii="Arial" w:hAnsi="Arial" w:cs="Arial"/>
                <w:szCs w:val="22"/>
              </w:rPr>
              <w:t xml:space="preserve">ravel/relocation costs to enable completion at an alternative </w:t>
            </w:r>
            <w:r>
              <w:rPr>
                <w:rFonts w:ascii="Arial" w:hAnsi="Arial" w:cs="Arial"/>
                <w:szCs w:val="22"/>
              </w:rPr>
              <w:t xml:space="preserve">College </w:t>
            </w:r>
            <w:r w:rsidRPr="00D12C7B">
              <w:rPr>
                <w:rFonts w:ascii="Arial" w:hAnsi="Arial" w:cs="Arial"/>
                <w:szCs w:val="22"/>
              </w:rPr>
              <w:t>campus.</w:t>
            </w:r>
          </w:p>
          <w:p w14:paraId="2AC0C8D6" w14:textId="77777777" w:rsidR="00AF3221" w:rsidRPr="00D12C7B" w:rsidRDefault="00AF3221" w:rsidP="00AF3221">
            <w:pPr>
              <w:pStyle w:val="ListParagraph"/>
              <w:numPr>
                <w:ilvl w:val="0"/>
                <w:numId w:val="30"/>
              </w:numPr>
              <w:autoSpaceDE w:val="0"/>
              <w:autoSpaceDN w:val="0"/>
              <w:adjustRightInd w:val="0"/>
              <w:spacing w:after="0" w:line="240" w:lineRule="auto"/>
              <w:jc w:val="both"/>
              <w:rPr>
                <w:rFonts w:ascii="Arial" w:hAnsi="Arial" w:cs="Arial"/>
                <w:szCs w:val="22"/>
              </w:rPr>
            </w:pPr>
            <w:r>
              <w:rPr>
                <w:rFonts w:ascii="Arial" w:hAnsi="Arial" w:cs="Arial"/>
                <w:szCs w:val="22"/>
              </w:rPr>
              <w:t>Additional t</w:t>
            </w:r>
            <w:r w:rsidRPr="00D12C7B">
              <w:rPr>
                <w:rFonts w:ascii="Arial" w:hAnsi="Arial" w:cs="Arial"/>
                <w:szCs w:val="22"/>
              </w:rPr>
              <w:t>ravel/relocation</w:t>
            </w:r>
            <w:r>
              <w:rPr>
                <w:rFonts w:ascii="Arial" w:hAnsi="Arial" w:cs="Arial"/>
                <w:szCs w:val="22"/>
              </w:rPr>
              <w:t xml:space="preserve"> costs </w:t>
            </w:r>
            <w:r w:rsidRPr="00D12C7B">
              <w:rPr>
                <w:rFonts w:ascii="Arial" w:hAnsi="Arial" w:cs="Arial"/>
                <w:szCs w:val="22"/>
              </w:rPr>
              <w:t xml:space="preserve"> to enable a student to transfer to complete at an alternative institution</w:t>
            </w:r>
          </w:p>
          <w:p w14:paraId="40E57E60" w14:textId="77777777" w:rsidR="00AF3221" w:rsidRPr="00D12C7B" w:rsidRDefault="00AF3221" w:rsidP="00AF3221">
            <w:pPr>
              <w:pStyle w:val="ListParagraph"/>
              <w:numPr>
                <w:ilvl w:val="0"/>
                <w:numId w:val="30"/>
              </w:numPr>
              <w:autoSpaceDE w:val="0"/>
              <w:autoSpaceDN w:val="0"/>
              <w:adjustRightInd w:val="0"/>
              <w:spacing w:after="0" w:line="240" w:lineRule="auto"/>
              <w:jc w:val="both"/>
              <w:rPr>
                <w:rFonts w:ascii="Arial" w:hAnsi="Arial" w:cs="Arial"/>
                <w:szCs w:val="22"/>
              </w:rPr>
            </w:pPr>
            <w:r w:rsidRPr="00D12C7B">
              <w:rPr>
                <w:rFonts w:ascii="Arial" w:hAnsi="Arial" w:cs="Arial"/>
                <w:szCs w:val="22"/>
              </w:rPr>
              <w:t>Maintenance costs</w:t>
            </w:r>
            <w:r>
              <w:rPr>
                <w:rFonts w:ascii="Arial" w:hAnsi="Arial" w:cs="Arial"/>
                <w:szCs w:val="22"/>
              </w:rPr>
              <w:t xml:space="preserve"> if a student is required to lengthen their period of study to enable them to complete the programme</w:t>
            </w:r>
          </w:p>
          <w:p w14:paraId="3F2E1166" w14:textId="77777777" w:rsidR="00AF3221" w:rsidRDefault="00AF3221" w:rsidP="00AF3221">
            <w:pPr>
              <w:pStyle w:val="ListParagraph"/>
              <w:numPr>
                <w:ilvl w:val="0"/>
                <w:numId w:val="30"/>
              </w:numPr>
              <w:autoSpaceDE w:val="0"/>
              <w:autoSpaceDN w:val="0"/>
              <w:adjustRightInd w:val="0"/>
              <w:spacing w:after="0" w:line="240" w:lineRule="auto"/>
              <w:jc w:val="both"/>
              <w:rPr>
                <w:rFonts w:ascii="Arial" w:hAnsi="Arial" w:cs="Arial"/>
                <w:szCs w:val="22"/>
              </w:rPr>
            </w:pPr>
            <w:r w:rsidRPr="00D12C7B">
              <w:rPr>
                <w:rFonts w:ascii="Arial" w:hAnsi="Arial" w:cs="Arial"/>
                <w:szCs w:val="22"/>
              </w:rPr>
              <w:t>Continuation of an expected bursary for the remainder of the academic year</w:t>
            </w:r>
          </w:p>
          <w:p w14:paraId="5DBD04BB" w14:textId="77777777" w:rsidR="00121E61" w:rsidRDefault="00121E61" w:rsidP="00121E61">
            <w:pPr>
              <w:autoSpaceDE w:val="0"/>
              <w:autoSpaceDN w:val="0"/>
              <w:adjustRightInd w:val="0"/>
              <w:jc w:val="both"/>
              <w:rPr>
                <w:rFonts w:cs="Arial"/>
                <w:szCs w:val="22"/>
              </w:rPr>
            </w:pPr>
          </w:p>
          <w:p w14:paraId="543AF416" w14:textId="77777777" w:rsidR="00121E61" w:rsidRDefault="00121E61" w:rsidP="00121E61">
            <w:pPr>
              <w:autoSpaceDE w:val="0"/>
              <w:autoSpaceDN w:val="0"/>
              <w:adjustRightInd w:val="0"/>
              <w:jc w:val="both"/>
              <w:rPr>
                <w:rFonts w:cs="Arial"/>
                <w:szCs w:val="22"/>
              </w:rPr>
            </w:pPr>
          </w:p>
          <w:p w14:paraId="74B2D3B8" w14:textId="77777777" w:rsidR="00121E61" w:rsidRPr="00121E61" w:rsidRDefault="00121E61" w:rsidP="00121E61">
            <w:pPr>
              <w:autoSpaceDE w:val="0"/>
              <w:autoSpaceDN w:val="0"/>
              <w:adjustRightInd w:val="0"/>
              <w:jc w:val="both"/>
              <w:rPr>
                <w:rFonts w:cs="Arial"/>
                <w:szCs w:val="22"/>
              </w:rPr>
            </w:pPr>
          </w:p>
          <w:p w14:paraId="5B9549F1" w14:textId="77777777" w:rsidR="00D36FF6" w:rsidRPr="00D12C7B" w:rsidRDefault="00D36FF6" w:rsidP="007B35DF">
            <w:pPr>
              <w:jc w:val="both"/>
              <w:rPr>
                <w:rFonts w:cs="Arial"/>
                <w:i/>
                <w:szCs w:val="22"/>
              </w:rPr>
            </w:pPr>
          </w:p>
        </w:tc>
      </w:tr>
      <w:tr w:rsidR="00F11F45" w:rsidRPr="00D12C7B" w14:paraId="1CE01E04" w14:textId="77777777" w:rsidTr="009E4D4B">
        <w:trPr>
          <w:cantSplit w:val="0"/>
        </w:trPr>
        <w:tc>
          <w:tcPr>
            <w:tcW w:w="10226" w:type="dxa"/>
            <w:tcBorders>
              <w:bottom w:val="nil"/>
            </w:tcBorders>
          </w:tcPr>
          <w:p w14:paraId="5665DD1A" w14:textId="0CCF06DA" w:rsidR="00F11F45" w:rsidRPr="00D12C7B" w:rsidRDefault="009E4D4B" w:rsidP="00D3665B">
            <w:pPr>
              <w:rPr>
                <w:rFonts w:cs="Arial"/>
                <w:b/>
                <w:szCs w:val="22"/>
              </w:rPr>
            </w:pPr>
            <w:r w:rsidRPr="00D12C7B">
              <w:rPr>
                <w:rFonts w:cs="Arial"/>
                <w:b/>
                <w:szCs w:val="22"/>
              </w:rPr>
              <w:lastRenderedPageBreak/>
              <w:t xml:space="preserve">4. </w:t>
            </w:r>
            <w:r w:rsidR="00F11F45" w:rsidRPr="00D12C7B">
              <w:rPr>
                <w:rFonts w:cs="Arial"/>
                <w:b/>
                <w:szCs w:val="22"/>
              </w:rPr>
              <w:t>Information about how you will communicate with students about your student protection plan</w:t>
            </w:r>
          </w:p>
        </w:tc>
      </w:tr>
      <w:tr w:rsidR="00396CCC" w:rsidRPr="00396CCC" w14:paraId="00E80541" w14:textId="77777777" w:rsidTr="009E4D4B">
        <w:trPr>
          <w:cantSplit w:val="0"/>
        </w:trPr>
        <w:tc>
          <w:tcPr>
            <w:tcW w:w="10226" w:type="dxa"/>
            <w:tcBorders>
              <w:top w:val="nil"/>
            </w:tcBorders>
          </w:tcPr>
          <w:p w14:paraId="1A81A981" w14:textId="44513AB5" w:rsidR="002A558F" w:rsidRPr="00D12C7B" w:rsidRDefault="00D36FF6" w:rsidP="002A558F">
            <w:pPr>
              <w:rPr>
                <w:rFonts w:cs="Arial"/>
              </w:rPr>
            </w:pPr>
            <w:r w:rsidRPr="00D12C7B">
              <w:rPr>
                <w:rFonts w:cs="Arial"/>
                <w:szCs w:val="22"/>
              </w:rPr>
              <w:t xml:space="preserve">The current Student Protection Plan has been drawn up </w:t>
            </w:r>
            <w:r w:rsidR="00643F23" w:rsidRPr="00D12C7B">
              <w:rPr>
                <w:rFonts w:cs="Arial"/>
                <w:szCs w:val="22"/>
              </w:rPr>
              <w:t>in collaboration</w:t>
            </w:r>
            <w:r w:rsidRPr="00D12C7B">
              <w:rPr>
                <w:rFonts w:cs="Arial"/>
                <w:szCs w:val="22"/>
              </w:rPr>
              <w:t xml:space="preserve"> with the College’s Students’ Union</w:t>
            </w:r>
            <w:r w:rsidR="00121634" w:rsidRPr="00D12C7B">
              <w:rPr>
                <w:rFonts w:cs="Arial"/>
                <w:szCs w:val="22"/>
              </w:rPr>
              <w:t>.</w:t>
            </w:r>
            <w:r w:rsidR="002A558F" w:rsidRPr="00D12C7B">
              <w:rPr>
                <w:rFonts w:cs="Arial"/>
                <w:szCs w:val="22"/>
              </w:rPr>
              <w:t xml:space="preserve"> The College’s Executive team meets regularly with the key members of the </w:t>
            </w:r>
            <w:r w:rsidR="002A558F" w:rsidRPr="00D12C7B">
              <w:rPr>
                <w:rFonts w:cs="Arial"/>
              </w:rPr>
              <w:t xml:space="preserve">Students’ Union to discuss matters such as those covered in this protection plan and how students’ interests might be protected in the event of a risk materialising.  </w:t>
            </w:r>
          </w:p>
          <w:p w14:paraId="096A71AF" w14:textId="77777777" w:rsidR="002A558F" w:rsidRPr="00D12C7B" w:rsidRDefault="002A558F" w:rsidP="002A558F">
            <w:pPr>
              <w:rPr>
                <w:rFonts w:ascii="Corbel" w:hAnsi="Corbel"/>
              </w:rPr>
            </w:pPr>
          </w:p>
          <w:p w14:paraId="2AFA53DD" w14:textId="415A731B" w:rsidR="007B35DF" w:rsidRPr="00D12C7B" w:rsidRDefault="00121634" w:rsidP="00AF3221">
            <w:pPr>
              <w:rPr>
                <w:rFonts w:cs="Arial"/>
                <w:szCs w:val="22"/>
              </w:rPr>
            </w:pPr>
            <w:r w:rsidRPr="00D12C7B">
              <w:rPr>
                <w:rFonts w:cs="Arial"/>
                <w:szCs w:val="22"/>
              </w:rPr>
              <w:t xml:space="preserve">It will be publicised to current and future students by posting a link to the plan on the relevant sections of the College website, including the admissions page </w:t>
            </w:r>
            <w:r w:rsidR="00643F23" w:rsidRPr="00D12C7B">
              <w:rPr>
                <w:rFonts w:cs="Arial"/>
                <w:szCs w:val="22"/>
              </w:rPr>
              <w:t>(</w:t>
            </w:r>
            <w:hyperlink r:id="rId15" w:history="1">
              <w:r w:rsidR="00643F23" w:rsidRPr="00D12C7B">
                <w:rPr>
                  <w:rStyle w:val="Hyperlink"/>
                  <w:rFonts w:cs="Arial"/>
                  <w:color w:val="005677" w:themeColor="accent5" w:themeShade="80"/>
                  <w:szCs w:val="22"/>
                  <w:u w:val="single"/>
                </w:rPr>
                <w:t>https://www.royalholloway.ac.uk/studyhere/postgraduate/applying/admissionspolicy.aspx</w:t>
              </w:r>
            </w:hyperlink>
            <w:r w:rsidR="00643F23" w:rsidRPr="00D12C7B">
              <w:rPr>
                <w:rFonts w:cs="Arial"/>
                <w:szCs w:val="22"/>
              </w:rPr>
              <w:t xml:space="preserve">) </w:t>
            </w:r>
            <w:r w:rsidR="00CE369C" w:rsidRPr="00D12C7B">
              <w:rPr>
                <w:rFonts w:cs="Arial"/>
                <w:szCs w:val="22"/>
              </w:rPr>
              <w:t xml:space="preserve">and </w:t>
            </w:r>
            <w:r w:rsidRPr="00D12C7B">
              <w:rPr>
                <w:rFonts w:cs="Arial"/>
                <w:szCs w:val="22"/>
              </w:rPr>
              <w:t>the Student Intranet (</w:t>
            </w:r>
            <w:hyperlink r:id="rId16" w:history="1">
              <w:r w:rsidR="00643F23" w:rsidRPr="00D12C7B">
                <w:rPr>
                  <w:rStyle w:val="Hyperlink"/>
                  <w:rFonts w:cs="Arial"/>
                  <w:color w:val="005677" w:themeColor="accent5" w:themeShade="80"/>
                  <w:szCs w:val="22"/>
                  <w:u w:val="single"/>
                </w:rPr>
                <w:t>https://www.royalholloway.ac.uk/students/home.aspx</w:t>
              </w:r>
            </w:hyperlink>
            <w:r w:rsidR="00CA17AF" w:rsidRPr="00D12C7B">
              <w:rPr>
                <w:rStyle w:val="Hyperlink"/>
                <w:rFonts w:cs="Arial"/>
                <w:szCs w:val="22"/>
              </w:rPr>
              <w:t>).</w:t>
            </w:r>
            <w:r w:rsidR="00643F23" w:rsidRPr="00D12C7B">
              <w:rPr>
                <w:rFonts w:cs="Arial"/>
                <w:color w:val="FF0000"/>
                <w:szCs w:val="22"/>
              </w:rPr>
              <w:t xml:space="preserve"> </w:t>
            </w:r>
          </w:p>
          <w:p w14:paraId="50072714" w14:textId="77777777" w:rsidR="00D36FF6" w:rsidRPr="00D12C7B" w:rsidRDefault="00D36FF6" w:rsidP="00D3665B">
            <w:pPr>
              <w:rPr>
                <w:rFonts w:cs="Arial"/>
                <w:szCs w:val="22"/>
              </w:rPr>
            </w:pPr>
          </w:p>
          <w:p w14:paraId="519BAF03" w14:textId="38103715" w:rsidR="0045109D" w:rsidRPr="00D12C7B" w:rsidRDefault="00D36FF6" w:rsidP="005E1599">
            <w:pPr>
              <w:jc w:val="both"/>
              <w:rPr>
                <w:rFonts w:cs="Arial"/>
                <w:szCs w:val="22"/>
              </w:rPr>
            </w:pPr>
            <w:r w:rsidRPr="00D12C7B">
              <w:rPr>
                <w:rFonts w:cs="Arial"/>
                <w:szCs w:val="22"/>
              </w:rPr>
              <w:t xml:space="preserve">The College has </w:t>
            </w:r>
            <w:r w:rsidR="007B35DF" w:rsidRPr="00D12C7B">
              <w:rPr>
                <w:rFonts w:cs="Arial"/>
                <w:szCs w:val="22"/>
              </w:rPr>
              <w:t xml:space="preserve">in place a </w:t>
            </w:r>
            <w:r w:rsidR="007B35DF" w:rsidRPr="00D12C7B">
              <w:rPr>
                <w:i/>
              </w:rPr>
              <w:t>Policy for Programme Closure / Withdrawal and Suspension</w:t>
            </w:r>
            <w:r w:rsidR="007B35DF" w:rsidRPr="00D12C7B">
              <w:t xml:space="preserve"> </w:t>
            </w:r>
            <w:r w:rsidR="005E1599" w:rsidRPr="00D12C7B">
              <w:t>(</w:t>
            </w:r>
            <w:hyperlink r:id="rId17" w:history="1">
              <w:r w:rsidR="005E1599" w:rsidRPr="00D12C7B">
                <w:rPr>
                  <w:rStyle w:val="Hyperlink"/>
                  <w:color w:val="005677" w:themeColor="accent5" w:themeShade="80"/>
                  <w:u w:val="single"/>
                </w:rPr>
                <w:t>https://www.royalholloway.ac.uk/staff/teaching/aqpo/academic-regulations-and-policies/academic-policies/programme-closure-withdrawal-and-suspension.aspx</w:t>
              </w:r>
            </w:hyperlink>
            <w:r w:rsidR="005E1599" w:rsidRPr="00D12C7B">
              <w:rPr>
                <w:color w:val="005677" w:themeColor="accent5" w:themeShade="80"/>
                <w:u w:val="single"/>
              </w:rPr>
              <w:t>)</w:t>
            </w:r>
            <w:r w:rsidR="007B35DF" w:rsidRPr="00D12C7B">
              <w:rPr>
                <w:rFonts w:cs="Arial"/>
                <w:szCs w:val="22"/>
              </w:rPr>
              <w:t xml:space="preserve">, which </w:t>
            </w:r>
            <w:r w:rsidR="004E7B46" w:rsidRPr="00D12C7B">
              <w:rPr>
                <w:rFonts w:cs="Arial"/>
                <w:szCs w:val="22"/>
              </w:rPr>
              <w:t xml:space="preserve">relevant </w:t>
            </w:r>
            <w:r w:rsidR="007B35DF" w:rsidRPr="00D12C7B">
              <w:rPr>
                <w:rFonts w:cs="Arial"/>
                <w:szCs w:val="22"/>
              </w:rPr>
              <w:t>staff are aware of.</w:t>
            </w:r>
            <w:r w:rsidR="00396CCC" w:rsidRPr="00D12C7B">
              <w:rPr>
                <w:rFonts w:cs="Arial"/>
                <w:szCs w:val="22"/>
              </w:rPr>
              <w:t xml:space="preserve">  As outlined in the policy, the College will </w:t>
            </w:r>
            <w:r w:rsidR="00D30887" w:rsidRPr="00D12C7B">
              <w:rPr>
                <w:rFonts w:cs="Arial"/>
                <w:szCs w:val="22"/>
              </w:rPr>
              <w:t xml:space="preserve">discuss programme withdrawals with </w:t>
            </w:r>
            <w:r w:rsidR="00396CCC" w:rsidRPr="00D12C7B">
              <w:rPr>
                <w:rFonts w:cs="Arial"/>
                <w:szCs w:val="22"/>
              </w:rPr>
              <w:t xml:space="preserve">students and will endeavour to teach out the programme to minimize the impact on registered students. There may, however, be cases where departments wish to withdraw programmes after they have been advertised and offers made.  To minimize the impact on students the College has agreed the following deadlines </w:t>
            </w:r>
            <w:r w:rsidR="0045109D" w:rsidRPr="00D12C7B">
              <w:rPr>
                <w:rFonts w:cs="Arial"/>
                <w:szCs w:val="22"/>
              </w:rPr>
              <w:t xml:space="preserve">in terms of making </w:t>
            </w:r>
            <w:r w:rsidR="004E7B46" w:rsidRPr="00D12C7B">
              <w:rPr>
                <w:rFonts w:cs="Arial"/>
                <w:szCs w:val="22"/>
              </w:rPr>
              <w:t xml:space="preserve">and communicating </w:t>
            </w:r>
            <w:r w:rsidR="0045109D" w:rsidRPr="00D12C7B">
              <w:rPr>
                <w:rFonts w:cs="Arial"/>
                <w:szCs w:val="22"/>
              </w:rPr>
              <w:t>decisions about programme closures/ withdrawals and suspensions</w:t>
            </w:r>
            <w:r w:rsidR="00396CCC" w:rsidRPr="00D12C7B">
              <w:rPr>
                <w:rFonts w:cs="Arial"/>
                <w:szCs w:val="22"/>
              </w:rPr>
              <w:t xml:space="preserve"> before students commence their studies</w:t>
            </w:r>
            <w:r w:rsidR="0045109D" w:rsidRPr="00D12C7B">
              <w:rPr>
                <w:rFonts w:cs="Arial"/>
                <w:szCs w:val="22"/>
              </w:rPr>
              <w:t>:</w:t>
            </w:r>
          </w:p>
          <w:p w14:paraId="6D440503" w14:textId="77777777" w:rsidR="0045109D" w:rsidRPr="00D12C7B" w:rsidRDefault="0045109D" w:rsidP="00D3665B">
            <w:pPr>
              <w:rPr>
                <w:rFonts w:cs="Arial"/>
                <w:szCs w:val="22"/>
              </w:rPr>
            </w:pPr>
          </w:p>
          <w:p w14:paraId="43F7B0A4" w14:textId="0F0C509B" w:rsidR="0045109D" w:rsidRPr="00D12C7B" w:rsidRDefault="0045109D" w:rsidP="0045109D">
            <w:pPr>
              <w:ind w:left="720" w:right="720"/>
              <w:jc w:val="both"/>
              <w:rPr>
                <w:rFonts w:cs="Arial"/>
                <w:i/>
                <w:szCs w:val="22"/>
              </w:rPr>
            </w:pPr>
            <w:r w:rsidRPr="00D12C7B">
              <w:rPr>
                <w:i/>
              </w:rPr>
              <w:t>Decisions on programme closures and suspensions should ideally be made prior to the start of the recruitment cycle. For undergraduate programmes this is by 15 January each year in time for the Undergraduate Prospectus to go to print, 18 months prior to enrolment. For PGT programmes this is by June each year, 15 months prior to enrolment. However, if this proves to be impossible, the latest date by which decisions on closures and suspensions can be made is by the start of the contractual/offer making stage which starts on 1 October each year, one year in advance of enrolment. Only in exceptional cases will Academic Planning Committee approve the closure or suspension of a programme of study at a date later than that set out above and then normally no later than 20 March prior to the start of the academic year. This date would permit undergraduate students the opportunity to amend their final choices and would allow postgraduate students sufficient time to explore alternative study opportunities at the College or at other institutions.</w:t>
            </w:r>
          </w:p>
          <w:p w14:paraId="79C037AF" w14:textId="77777777" w:rsidR="0045109D" w:rsidRPr="00D12C7B" w:rsidRDefault="0045109D" w:rsidP="00D3665B">
            <w:pPr>
              <w:rPr>
                <w:rFonts w:cs="Arial"/>
                <w:i/>
                <w:szCs w:val="22"/>
              </w:rPr>
            </w:pPr>
          </w:p>
          <w:p w14:paraId="23EFD9AC" w14:textId="396FE720" w:rsidR="0045109D" w:rsidRPr="00D12C7B" w:rsidRDefault="00CE369C" w:rsidP="00396CCC">
            <w:pPr>
              <w:jc w:val="both"/>
              <w:rPr>
                <w:rFonts w:cs="Arial"/>
                <w:szCs w:val="22"/>
              </w:rPr>
            </w:pPr>
            <w:r w:rsidRPr="00D12C7B">
              <w:rPr>
                <w:rFonts w:cs="Arial"/>
                <w:szCs w:val="22"/>
              </w:rPr>
              <w:t>The College will ensure, going forward, that staff are made aware of the implications of t</w:t>
            </w:r>
            <w:r w:rsidR="00D30887" w:rsidRPr="00D12C7B">
              <w:rPr>
                <w:rFonts w:cs="Arial"/>
                <w:szCs w:val="22"/>
              </w:rPr>
              <w:t>he student protection plan when</w:t>
            </w:r>
            <w:r w:rsidRPr="00D12C7B">
              <w:rPr>
                <w:rFonts w:cs="Arial"/>
                <w:szCs w:val="22"/>
              </w:rPr>
              <w:t xml:space="preserve"> they propose programme changes and about their responsibilities in terms of consultation with students in the following ways: by posting a link to the plan on the Staff intranet, by relaying the implications to Heads of academic departments and relevant key departmental  academic staff through, for example, monthly meetings of Heads of Departments, relevant Faculty Committees and through the weekly staff newsletter.</w:t>
            </w:r>
          </w:p>
          <w:p w14:paraId="7434290A" w14:textId="77777777" w:rsidR="00CE369C" w:rsidRPr="00D12C7B" w:rsidRDefault="00CE369C" w:rsidP="00396CCC">
            <w:pPr>
              <w:jc w:val="both"/>
              <w:rPr>
                <w:rFonts w:cs="Arial"/>
                <w:szCs w:val="22"/>
              </w:rPr>
            </w:pPr>
          </w:p>
          <w:p w14:paraId="4442B069" w14:textId="611DE137" w:rsidR="00CE369C" w:rsidRPr="00D12C7B" w:rsidRDefault="00CE369C" w:rsidP="00396CCC">
            <w:pPr>
              <w:jc w:val="both"/>
              <w:rPr>
                <w:rFonts w:cs="Arial"/>
                <w:szCs w:val="22"/>
              </w:rPr>
            </w:pPr>
            <w:r w:rsidRPr="00D12C7B">
              <w:rPr>
                <w:rFonts w:cs="Arial"/>
                <w:szCs w:val="22"/>
              </w:rPr>
              <w:t xml:space="preserve">Going forward the plan will be reviewed annually by </w:t>
            </w:r>
            <w:r w:rsidR="00B255A8" w:rsidRPr="00D12C7B">
              <w:rPr>
                <w:rFonts w:cs="Arial"/>
                <w:szCs w:val="22"/>
              </w:rPr>
              <w:t>the Academic Board and Council, as the governing body of the College,</w:t>
            </w:r>
            <w:r w:rsidRPr="00D12C7B">
              <w:rPr>
                <w:rFonts w:cs="Arial"/>
                <w:szCs w:val="22"/>
              </w:rPr>
              <w:t xml:space="preserve"> </w:t>
            </w:r>
            <w:r w:rsidR="00B255A8" w:rsidRPr="00D12C7B">
              <w:rPr>
                <w:rFonts w:cs="Arial"/>
                <w:szCs w:val="22"/>
              </w:rPr>
              <w:t>both of which include</w:t>
            </w:r>
            <w:r w:rsidRPr="00D12C7B">
              <w:rPr>
                <w:rFonts w:cs="Arial"/>
                <w:szCs w:val="22"/>
              </w:rPr>
              <w:t xml:space="preserve"> student representation</w:t>
            </w:r>
            <w:r w:rsidR="00B255A8" w:rsidRPr="00D12C7B">
              <w:rPr>
                <w:rFonts w:cs="Arial"/>
                <w:szCs w:val="22"/>
              </w:rPr>
              <w:t>.</w:t>
            </w:r>
          </w:p>
          <w:p w14:paraId="4D767619" w14:textId="77777777" w:rsidR="00CE369C" w:rsidRPr="00D12C7B" w:rsidRDefault="00CE369C" w:rsidP="00396CCC">
            <w:pPr>
              <w:jc w:val="both"/>
              <w:rPr>
                <w:rFonts w:cs="Arial"/>
                <w:szCs w:val="22"/>
              </w:rPr>
            </w:pPr>
          </w:p>
          <w:p w14:paraId="209B4D0F" w14:textId="5255EAD9" w:rsidR="004E7B46" w:rsidRPr="00396CCC" w:rsidRDefault="004E7B46" w:rsidP="005E1599">
            <w:pPr>
              <w:jc w:val="both"/>
              <w:rPr>
                <w:rFonts w:cs="Arial"/>
                <w:szCs w:val="22"/>
              </w:rPr>
            </w:pPr>
            <w:r w:rsidRPr="00D12C7B">
              <w:rPr>
                <w:rFonts w:cs="Arial"/>
                <w:iCs/>
              </w:rPr>
              <w:t xml:space="preserve">In the unlikely event that </w:t>
            </w:r>
            <w:r w:rsidR="00D30887" w:rsidRPr="00D12C7B">
              <w:rPr>
                <w:rFonts w:cs="Arial"/>
                <w:iCs/>
              </w:rPr>
              <w:t>the any of the measures in the Student P</w:t>
            </w:r>
            <w:r w:rsidR="00CE369C" w:rsidRPr="00D12C7B">
              <w:rPr>
                <w:rFonts w:cs="Arial"/>
                <w:iCs/>
              </w:rPr>
              <w:t>rotection plan need to be implemented, the College</w:t>
            </w:r>
            <w:r w:rsidRPr="00D12C7B">
              <w:rPr>
                <w:rFonts w:cs="Arial"/>
                <w:iCs/>
              </w:rPr>
              <w:t xml:space="preserve"> will ensure that students have ready access to the full range of services provided by </w:t>
            </w:r>
            <w:r w:rsidR="00CE369C" w:rsidRPr="00D12C7B">
              <w:rPr>
                <w:rFonts w:cs="Arial"/>
                <w:iCs/>
              </w:rPr>
              <w:t>the</w:t>
            </w:r>
            <w:r w:rsidRPr="00D12C7B">
              <w:rPr>
                <w:rFonts w:cs="Arial"/>
                <w:iCs/>
              </w:rPr>
              <w:t xml:space="preserve"> </w:t>
            </w:r>
            <w:r w:rsidR="00CE369C" w:rsidRPr="00D12C7B">
              <w:rPr>
                <w:rFonts w:cs="Arial"/>
                <w:iCs/>
              </w:rPr>
              <w:t>Student Services Centre, and internal</w:t>
            </w:r>
            <w:r w:rsidRPr="00D12C7B">
              <w:rPr>
                <w:rFonts w:cs="Arial"/>
                <w:iCs/>
              </w:rPr>
              <w:t xml:space="preserve"> support, health and welfare services, bringing in additional resources in times of increased demand.  </w:t>
            </w:r>
            <w:r w:rsidR="00CE369C" w:rsidRPr="00D12C7B">
              <w:rPr>
                <w:rFonts w:cs="Arial"/>
                <w:iCs/>
              </w:rPr>
              <w:t xml:space="preserve">The College </w:t>
            </w:r>
            <w:r w:rsidR="00D30887" w:rsidRPr="00D12C7B">
              <w:rPr>
                <w:rFonts w:cs="Arial"/>
                <w:iCs/>
              </w:rPr>
              <w:t>will</w:t>
            </w:r>
            <w:r w:rsidRPr="00D12C7B">
              <w:rPr>
                <w:rFonts w:cs="Arial"/>
                <w:iCs/>
              </w:rPr>
              <w:t xml:space="preserve"> also make sure that students are aware of the support they can receive from the Students</w:t>
            </w:r>
            <w:r w:rsidR="00CE369C" w:rsidRPr="00D12C7B">
              <w:rPr>
                <w:rFonts w:cs="Arial"/>
                <w:iCs/>
              </w:rPr>
              <w:t>’</w:t>
            </w:r>
            <w:r w:rsidRPr="00D12C7B">
              <w:rPr>
                <w:rFonts w:cs="Arial"/>
                <w:iCs/>
              </w:rPr>
              <w:t xml:space="preserve"> Union.  This information is readily available on </w:t>
            </w:r>
            <w:r w:rsidR="00CE369C" w:rsidRPr="00D12C7B">
              <w:rPr>
                <w:rFonts w:cs="Arial"/>
                <w:iCs/>
              </w:rPr>
              <w:t>the College</w:t>
            </w:r>
            <w:r w:rsidRPr="00D12C7B">
              <w:rPr>
                <w:rFonts w:cs="Arial"/>
                <w:iCs/>
              </w:rPr>
              <w:t xml:space="preserve"> website</w:t>
            </w:r>
            <w:r w:rsidR="00D30887" w:rsidRPr="00D12C7B">
              <w:rPr>
                <w:rFonts w:cs="Arial"/>
                <w:iCs/>
              </w:rPr>
              <w:t xml:space="preserve"> </w:t>
            </w:r>
            <w:r w:rsidR="00D30887" w:rsidRPr="00D12C7B">
              <w:rPr>
                <w:rFonts w:cs="Arial"/>
                <w:iCs/>
                <w:color w:val="005677" w:themeColor="accent5" w:themeShade="80"/>
              </w:rPr>
              <w:t>(</w:t>
            </w:r>
            <w:hyperlink r:id="rId18" w:history="1">
              <w:r w:rsidR="00D30887" w:rsidRPr="00D12C7B">
                <w:rPr>
                  <w:rStyle w:val="Hyperlink"/>
                  <w:rFonts w:cs="Arial"/>
                  <w:iCs/>
                  <w:color w:val="005677" w:themeColor="accent5" w:themeShade="80"/>
                  <w:u w:val="single"/>
                </w:rPr>
                <w:t>https://www.royalholloway.ac.uk/students/help-support/help-and-support.aspx</w:t>
              </w:r>
            </w:hyperlink>
            <w:r w:rsidR="00D30887" w:rsidRPr="00D12C7B">
              <w:rPr>
                <w:rFonts w:cs="Arial"/>
                <w:iCs/>
              </w:rPr>
              <w:t>).</w:t>
            </w:r>
          </w:p>
        </w:tc>
      </w:tr>
      <w:bookmarkEnd w:id="2"/>
    </w:tbl>
    <w:p w14:paraId="601E490E" w14:textId="77777777" w:rsidR="00F11F45" w:rsidRDefault="00F11F45" w:rsidP="00F11F45"/>
    <w:sectPr w:rsidR="00F11F45" w:rsidSect="0002529F">
      <w:pgSz w:w="11906" w:h="16838" w:code="9"/>
      <w:pgMar w:top="1021" w:right="1021" w:bottom="454" w:left="102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50C2F" w14:textId="77777777" w:rsidR="007D774C" w:rsidRDefault="007D774C" w:rsidP="00324CFE">
      <w:r>
        <w:separator/>
      </w:r>
    </w:p>
    <w:p w14:paraId="3841627B" w14:textId="77777777" w:rsidR="007D774C" w:rsidRDefault="007D774C"/>
  </w:endnote>
  <w:endnote w:type="continuationSeparator" w:id="0">
    <w:p w14:paraId="29CF757D" w14:textId="77777777" w:rsidR="007D774C" w:rsidRDefault="007D774C" w:rsidP="00324CFE">
      <w:r>
        <w:continuationSeparator/>
      </w:r>
    </w:p>
    <w:p w14:paraId="16DB14E7" w14:textId="77777777" w:rsidR="007D774C" w:rsidRDefault="007D774C"/>
  </w:endnote>
  <w:endnote w:type="continuationNotice" w:id="1">
    <w:p w14:paraId="2012D318" w14:textId="77777777" w:rsidR="007D774C" w:rsidRDefault="007D77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BookAntiquaParliamentary">
    <w:altName w:val="Calibri"/>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4C30E" w14:textId="77777777" w:rsidR="007D774C" w:rsidRDefault="007D774C" w:rsidP="00324CFE">
      <w:r>
        <w:separator/>
      </w:r>
    </w:p>
  </w:footnote>
  <w:footnote w:type="continuationSeparator" w:id="0">
    <w:p w14:paraId="77B5EAFE" w14:textId="77777777" w:rsidR="007D774C" w:rsidRDefault="007D774C" w:rsidP="00324CFE">
      <w:r>
        <w:continuationSeparator/>
      </w:r>
    </w:p>
    <w:p w14:paraId="1904FC60" w14:textId="77777777" w:rsidR="007D774C" w:rsidRDefault="007D774C"/>
  </w:footnote>
  <w:footnote w:type="continuationNotice" w:id="1">
    <w:p w14:paraId="51561AEB" w14:textId="77777777" w:rsidR="007D774C" w:rsidRDefault="007D774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C25E2CDC"/>
    <w:lvl w:ilvl="0">
      <w:start w:val="1"/>
      <w:numFmt w:val="bullet"/>
      <w:pStyle w:val="ListBullet2"/>
      <w:lvlText w:val="-"/>
      <w:lvlJc w:val="left"/>
      <w:pPr>
        <w:ind w:left="717" w:hanging="360"/>
      </w:pPr>
      <w:rPr>
        <w:rFonts w:ascii="Courier New" w:hAnsi="Courier New" w:hint="default"/>
        <w:color w:val="803689"/>
        <w:sz w:val="24"/>
      </w:rPr>
    </w:lvl>
  </w:abstractNum>
  <w:abstractNum w:abstractNumId="3" w15:restartNumberingAfterBreak="0">
    <w:nsid w:val="FFFFFF89"/>
    <w:multiLevelType w:val="singleLevel"/>
    <w:tmpl w:val="A0205FEC"/>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000063"/>
    <w:multiLevelType w:val="hybridMultilevel"/>
    <w:tmpl w:val="99E6810E"/>
    <w:lvl w:ilvl="0" w:tplc="54641AD6">
      <w:start w:val="1"/>
      <w:numFmt w:val="upperRoman"/>
      <w:pStyle w:val="PIPnumbered"/>
      <w:lvlText w:val="%1."/>
      <w:lvlJc w:val="right"/>
      <w:pPr>
        <w:ind w:left="720" w:hanging="360"/>
      </w:pPr>
      <w:rPr>
        <w:color w:val="auto"/>
      </w:rPr>
    </w:lvl>
    <w:lvl w:ilvl="1" w:tplc="63506628">
      <w:numFmt w:val="bullet"/>
      <w:lvlText w:val="-"/>
      <w:lvlJc w:val="left"/>
      <w:pPr>
        <w:ind w:left="1800" w:hanging="720"/>
      </w:pPr>
      <w:rPr>
        <w:rFonts w:ascii="Arial" w:eastAsia="Times New Roman" w:hAnsi="Arial"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00630662"/>
    <w:multiLevelType w:val="hybridMultilevel"/>
    <w:tmpl w:val="511296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0B5A352A"/>
    <w:multiLevelType w:val="multilevel"/>
    <w:tmpl w:val="6A34D286"/>
    <w:styleLink w:val="ListParagraph1"/>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0FC64FE1"/>
    <w:multiLevelType w:val="multilevel"/>
    <w:tmpl w:val="74D2F74E"/>
    <w:styleLink w:val="NumberedList"/>
    <w:lvl w:ilvl="0">
      <w:start w:val="1"/>
      <w:numFmt w:val="decimal"/>
      <w:lvlText w:val="%1."/>
      <w:lvlJc w:val="left"/>
      <w:pPr>
        <w:ind w:left="720" w:hanging="360"/>
      </w:pPr>
      <w:rPr>
        <w:color w:val="000000" w:themeColor="text1"/>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0" w15:restartNumberingAfterBreak="0">
    <w:nsid w:val="23D30EF2"/>
    <w:multiLevelType w:val="hybridMultilevel"/>
    <w:tmpl w:val="6FAEE1E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636"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6717C4A"/>
    <w:multiLevelType w:val="hybridMultilevel"/>
    <w:tmpl w:val="002623F0"/>
    <w:lvl w:ilvl="0" w:tplc="23723D84">
      <w:start w:val="1"/>
      <w:numFmt w:val="bullet"/>
      <w:pStyle w:val="RF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7B60B0"/>
    <w:multiLevelType w:val="multilevel"/>
    <w:tmpl w:val="19341E28"/>
    <w:styleLink w:val="LFO10"/>
    <w:lvl w:ilvl="0">
      <w:start w:val="1"/>
      <w:numFmt w:val="decimal"/>
      <w:lvlText w:val="%1."/>
      <w:lvlJc w:val="left"/>
      <w:pPr>
        <w:ind w:left="720" w:hanging="360"/>
      </w:pPr>
      <w:rPr>
        <w:b w:val="0"/>
      </w:r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A746566"/>
    <w:multiLevelType w:val="hybridMultilevel"/>
    <w:tmpl w:val="88E664D6"/>
    <w:lvl w:ilvl="0" w:tplc="F54298CC">
      <w:start w:val="1"/>
      <w:numFmt w:val="decimal"/>
      <w:pStyle w:val="RFnumberedparaannex"/>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AA362F5"/>
    <w:multiLevelType w:val="multilevel"/>
    <w:tmpl w:val="74D2F74E"/>
    <w:styleLink w:val="NumberedList0"/>
    <w:lvl w:ilvl="0">
      <w:start w:val="1"/>
      <w:numFmt w:val="decimal"/>
      <w:lvlText w:val="%1."/>
      <w:lvlJc w:val="left"/>
      <w:pPr>
        <w:ind w:left="720" w:hanging="360"/>
      </w:pPr>
      <w:rPr>
        <w:color w:val="000000" w:themeColor="text1"/>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B0D3BAA"/>
    <w:multiLevelType w:val="hybridMultilevel"/>
    <w:tmpl w:val="0E9CC6AA"/>
    <w:lvl w:ilvl="0" w:tplc="D9ECE0C0">
      <w:start w:val="1"/>
      <w:numFmt w:val="decimal"/>
      <w:pStyle w:val="RFnumberedpara"/>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7A02F6"/>
    <w:multiLevelType w:val="hybridMultilevel"/>
    <w:tmpl w:val="A5A68272"/>
    <w:lvl w:ilvl="0" w:tplc="8850FA6A">
      <w:start w:val="1"/>
      <w:numFmt w:val="bullet"/>
      <w:pStyle w:val="Bullet"/>
      <w:lvlText w:val=""/>
      <w:lvlJc w:val="left"/>
      <w:pPr>
        <w:tabs>
          <w:tab w:val="num" w:pos="864"/>
        </w:tabs>
        <w:ind w:left="864" w:hanging="30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82579D"/>
    <w:multiLevelType w:val="hybridMultilevel"/>
    <w:tmpl w:val="F7E6F3C6"/>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6256B42"/>
    <w:multiLevelType w:val="hybridMultilevel"/>
    <w:tmpl w:val="3F5AC642"/>
    <w:lvl w:ilvl="0" w:tplc="3752D11A">
      <w:start w:val="1"/>
      <w:numFmt w:val="lowerRoman"/>
      <w:pStyle w:val="RFnumberedparaL3"/>
      <w:lvlText w:val="%1."/>
      <w:lvlJc w:val="righ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6BA2EC5"/>
    <w:multiLevelType w:val="multilevel"/>
    <w:tmpl w:val="45BCCECA"/>
    <w:styleLink w:val="OrderedList"/>
    <w:lvl w:ilvl="0">
      <w:start w:val="1"/>
      <w:numFmt w:val="decimal"/>
      <w:pStyle w:val="ListNumber"/>
      <w:lvlText w:val="%1."/>
      <w:lvlJc w:val="left"/>
      <w:pPr>
        <w:ind w:left="454" w:hanging="454"/>
      </w:pPr>
      <w:rPr>
        <w:rFonts w:ascii="Arial" w:hAnsi="Arial" w:cs="Arial" w:hint="default"/>
        <w:b w:val="0"/>
        <w:bCs w:val="0"/>
        <w:i w:val="0"/>
        <w:iCs w:val="0"/>
        <w:caps w:val="0"/>
        <w:smallCaps w:val="0"/>
        <w:strike w:val="0"/>
        <w:dstrike w:val="0"/>
        <w:vanish w:val="0"/>
        <w:color w:val="auto"/>
        <w:spacing w:val="0"/>
        <w:w w:val="100"/>
        <w:kern w:val="0"/>
        <w:position w:val="0"/>
        <w:sz w:val="22"/>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907" w:hanging="453"/>
      </w:pPr>
      <w:rPr>
        <w:rFonts w:hint="default"/>
      </w:rPr>
    </w:lvl>
    <w:lvl w:ilvl="2">
      <w:start w:val="1"/>
      <w:numFmt w:val="lowerRoman"/>
      <w:pStyle w:val="ListNumber3"/>
      <w:lvlText w:val="%3."/>
      <w:lvlJc w:val="left"/>
      <w:pPr>
        <w:ind w:left="1361" w:hanging="45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91B0CA1"/>
    <w:multiLevelType w:val="hybridMultilevel"/>
    <w:tmpl w:val="533C9DD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B963B3B"/>
    <w:multiLevelType w:val="hybridMultilevel"/>
    <w:tmpl w:val="10AE6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8A384A"/>
    <w:multiLevelType w:val="hybridMultilevel"/>
    <w:tmpl w:val="10FAC2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3CC34B29"/>
    <w:multiLevelType w:val="hybridMultilevel"/>
    <w:tmpl w:val="CA0CB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5B376C"/>
    <w:multiLevelType w:val="hybridMultilevel"/>
    <w:tmpl w:val="97204D92"/>
    <w:lvl w:ilvl="0" w:tplc="33C8F210">
      <w:start w:val="1"/>
      <w:numFmt w:val="bullet"/>
      <w:pStyle w:val="ListParagraph"/>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652BDB"/>
    <w:multiLevelType w:val="multilevel"/>
    <w:tmpl w:val="DA20862C"/>
    <w:styleLink w:val="NumberList"/>
    <w:lvl w:ilvl="0">
      <w:start w:val="1"/>
      <w:numFmt w:val="decimal"/>
      <w:lvlText w:val="%1."/>
      <w:lvlJc w:val="left"/>
      <w:pPr>
        <w:ind w:left="720" w:hanging="360"/>
      </w:pPr>
      <w:rPr>
        <w:color w:val="000000" w:themeColor="text1"/>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7" w15:restartNumberingAfterBreak="0">
    <w:nsid w:val="48D12BA8"/>
    <w:multiLevelType w:val="hybridMultilevel"/>
    <w:tmpl w:val="8BF234F2"/>
    <w:lvl w:ilvl="0" w:tplc="A7E6A8BA">
      <w:start w:val="1"/>
      <w:numFmt w:val="upperRoman"/>
      <w:pStyle w:val="pignumbers"/>
      <w:lvlText w:val="%1."/>
      <w:lvlJc w:val="right"/>
      <w:pPr>
        <w:ind w:left="720" w:hanging="360"/>
      </w:pPr>
      <w:rPr>
        <w:color w:val="auto"/>
      </w:rPr>
    </w:lvl>
    <w:lvl w:ilvl="1" w:tplc="63506628">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4D31F2"/>
    <w:multiLevelType w:val="multilevel"/>
    <w:tmpl w:val="3C4EDE32"/>
    <w:lvl w:ilvl="0">
      <w:start w:val="1"/>
      <w:numFmt w:val="lowerLetter"/>
      <w:pStyle w:val="RFnumberedparaL2"/>
      <w:lvlText w:val="%1."/>
      <w:lvlJc w:val="left"/>
      <w:pPr>
        <w:ind w:left="720" w:hanging="360"/>
      </w:pPr>
      <w:rPr>
        <w:rFonts w:hint="default"/>
        <w:sz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0911930"/>
    <w:multiLevelType w:val="hybridMultilevel"/>
    <w:tmpl w:val="62420B6E"/>
    <w:lvl w:ilvl="0" w:tplc="2FE610F2">
      <w:start w:val="1"/>
      <w:numFmt w:val="lowerRoman"/>
      <w:pStyle w:val="RFexecsum"/>
      <w:lvlText w:val="%1."/>
      <w:lvlJc w:val="righ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11276BD"/>
    <w:multiLevelType w:val="hybridMultilevel"/>
    <w:tmpl w:val="1FA2D6C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3942746"/>
    <w:multiLevelType w:val="hybridMultilevel"/>
    <w:tmpl w:val="D65AB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686CC8"/>
    <w:multiLevelType w:val="multilevel"/>
    <w:tmpl w:val="B6DC9112"/>
    <w:lvl w:ilvl="0">
      <w:start w:val="1"/>
      <w:numFmt w:val="decimal"/>
      <w:pStyle w:val="numberpara1"/>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15:restartNumberingAfterBreak="0">
    <w:nsid w:val="5FF223E3"/>
    <w:multiLevelType w:val="hybridMultilevel"/>
    <w:tmpl w:val="C9741FC6"/>
    <w:lvl w:ilvl="0" w:tplc="231091F4">
      <w:start w:val="1"/>
      <w:numFmt w:val="bullet"/>
      <w:pStyle w:val="BoxedYellowBullet"/>
      <w:lvlText w:val=""/>
      <w:lvlJc w:val="left"/>
      <w:pPr>
        <w:ind w:left="987" w:hanging="360"/>
      </w:pPr>
      <w:rPr>
        <w:rFonts w:ascii="Symbol" w:hAnsi="Symbol" w:hint="default"/>
        <w:sz w:val="16"/>
      </w:rPr>
    </w:lvl>
    <w:lvl w:ilvl="1" w:tplc="08090003" w:tentative="1">
      <w:start w:val="1"/>
      <w:numFmt w:val="bullet"/>
      <w:lvlText w:val="o"/>
      <w:lvlJc w:val="left"/>
      <w:pPr>
        <w:ind w:left="1707" w:hanging="360"/>
      </w:pPr>
      <w:rPr>
        <w:rFonts w:ascii="Courier New" w:hAnsi="Courier New" w:cs="Courier New" w:hint="default"/>
      </w:rPr>
    </w:lvl>
    <w:lvl w:ilvl="2" w:tplc="08090005" w:tentative="1">
      <w:start w:val="1"/>
      <w:numFmt w:val="bullet"/>
      <w:lvlText w:val=""/>
      <w:lvlJc w:val="left"/>
      <w:pPr>
        <w:ind w:left="2427" w:hanging="360"/>
      </w:pPr>
      <w:rPr>
        <w:rFonts w:ascii="Wingdings" w:hAnsi="Wingdings" w:hint="default"/>
      </w:rPr>
    </w:lvl>
    <w:lvl w:ilvl="3" w:tplc="08090001" w:tentative="1">
      <w:start w:val="1"/>
      <w:numFmt w:val="bullet"/>
      <w:lvlText w:val=""/>
      <w:lvlJc w:val="left"/>
      <w:pPr>
        <w:ind w:left="3147" w:hanging="360"/>
      </w:pPr>
      <w:rPr>
        <w:rFonts w:ascii="Symbol" w:hAnsi="Symbol" w:hint="default"/>
      </w:rPr>
    </w:lvl>
    <w:lvl w:ilvl="4" w:tplc="08090003" w:tentative="1">
      <w:start w:val="1"/>
      <w:numFmt w:val="bullet"/>
      <w:lvlText w:val="o"/>
      <w:lvlJc w:val="left"/>
      <w:pPr>
        <w:ind w:left="3867" w:hanging="360"/>
      </w:pPr>
      <w:rPr>
        <w:rFonts w:ascii="Courier New" w:hAnsi="Courier New" w:cs="Courier New" w:hint="default"/>
      </w:rPr>
    </w:lvl>
    <w:lvl w:ilvl="5" w:tplc="08090005" w:tentative="1">
      <w:start w:val="1"/>
      <w:numFmt w:val="bullet"/>
      <w:lvlText w:val=""/>
      <w:lvlJc w:val="left"/>
      <w:pPr>
        <w:ind w:left="4587" w:hanging="360"/>
      </w:pPr>
      <w:rPr>
        <w:rFonts w:ascii="Wingdings" w:hAnsi="Wingdings" w:hint="default"/>
      </w:rPr>
    </w:lvl>
    <w:lvl w:ilvl="6" w:tplc="08090001" w:tentative="1">
      <w:start w:val="1"/>
      <w:numFmt w:val="bullet"/>
      <w:lvlText w:val=""/>
      <w:lvlJc w:val="left"/>
      <w:pPr>
        <w:ind w:left="5307" w:hanging="360"/>
      </w:pPr>
      <w:rPr>
        <w:rFonts w:ascii="Symbol" w:hAnsi="Symbol" w:hint="default"/>
      </w:rPr>
    </w:lvl>
    <w:lvl w:ilvl="7" w:tplc="08090003" w:tentative="1">
      <w:start w:val="1"/>
      <w:numFmt w:val="bullet"/>
      <w:lvlText w:val="o"/>
      <w:lvlJc w:val="left"/>
      <w:pPr>
        <w:ind w:left="6027" w:hanging="360"/>
      </w:pPr>
      <w:rPr>
        <w:rFonts w:ascii="Courier New" w:hAnsi="Courier New" w:cs="Courier New" w:hint="default"/>
      </w:rPr>
    </w:lvl>
    <w:lvl w:ilvl="8" w:tplc="08090005" w:tentative="1">
      <w:start w:val="1"/>
      <w:numFmt w:val="bullet"/>
      <w:lvlText w:val=""/>
      <w:lvlJc w:val="left"/>
      <w:pPr>
        <w:ind w:left="6747" w:hanging="360"/>
      </w:pPr>
      <w:rPr>
        <w:rFonts w:ascii="Wingdings" w:hAnsi="Wingdings" w:hint="default"/>
      </w:rPr>
    </w:lvl>
  </w:abstractNum>
  <w:abstractNum w:abstractNumId="34" w15:restartNumberingAfterBreak="0">
    <w:nsid w:val="64E8621F"/>
    <w:multiLevelType w:val="hybridMultilevel"/>
    <w:tmpl w:val="1346A5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66B46077"/>
    <w:multiLevelType w:val="multilevel"/>
    <w:tmpl w:val="F1E6B8EA"/>
    <w:styleLink w:val="StyleBulletedSymbolsymbolBlueUnderlineLeft063cmH"/>
    <w:lvl w:ilvl="0">
      <w:start w:val="1"/>
      <w:numFmt w:val="bullet"/>
      <w:lvlText w:val=""/>
      <w:lvlJc w:val="left"/>
      <w:pPr>
        <w:ind w:left="720" w:hanging="360"/>
      </w:pPr>
      <w:rPr>
        <w:rFonts w:ascii="Symbol" w:hAnsi="Symbol"/>
        <w:color w:val="0D0D0D" w:themeColor="text1" w:themeTint="F2"/>
        <w:sz w:val="24"/>
        <w:u w:val="singl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7B837FB"/>
    <w:multiLevelType w:val="hybridMultilevel"/>
    <w:tmpl w:val="BAFE1ACA"/>
    <w:lvl w:ilvl="0" w:tplc="EAC052F4">
      <w:start w:val="1"/>
      <w:numFmt w:val="bullet"/>
      <w:pStyle w:val="BoxedBlueBullet"/>
      <w:lvlText w:val=""/>
      <w:lvlJc w:val="left"/>
      <w:pPr>
        <w:ind w:left="989" w:hanging="360"/>
      </w:pPr>
      <w:rPr>
        <w:rFonts w:ascii="Symbol" w:hAnsi="Symbol" w:hint="default"/>
        <w:sz w:val="16"/>
      </w:rPr>
    </w:lvl>
    <w:lvl w:ilvl="1" w:tplc="08090003" w:tentative="1">
      <w:start w:val="1"/>
      <w:numFmt w:val="bullet"/>
      <w:lvlText w:val="o"/>
      <w:lvlJc w:val="left"/>
      <w:pPr>
        <w:ind w:left="1709" w:hanging="360"/>
      </w:pPr>
      <w:rPr>
        <w:rFonts w:ascii="Courier New" w:hAnsi="Courier New" w:cs="Courier New" w:hint="default"/>
      </w:rPr>
    </w:lvl>
    <w:lvl w:ilvl="2" w:tplc="08090005" w:tentative="1">
      <w:start w:val="1"/>
      <w:numFmt w:val="bullet"/>
      <w:lvlText w:val=""/>
      <w:lvlJc w:val="left"/>
      <w:pPr>
        <w:ind w:left="2429" w:hanging="360"/>
      </w:pPr>
      <w:rPr>
        <w:rFonts w:ascii="Wingdings" w:hAnsi="Wingdings" w:hint="default"/>
      </w:rPr>
    </w:lvl>
    <w:lvl w:ilvl="3" w:tplc="08090001" w:tentative="1">
      <w:start w:val="1"/>
      <w:numFmt w:val="bullet"/>
      <w:lvlText w:val=""/>
      <w:lvlJc w:val="left"/>
      <w:pPr>
        <w:ind w:left="3149" w:hanging="360"/>
      </w:pPr>
      <w:rPr>
        <w:rFonts w:ascii="Symbol" w:hAnsi="Symbol" w:hint="default"/>
      </w:rPr>
    </w:lvl>
    <w:lvl w:ilvl="4" w:tplc="08090003" w:tentative="1">
      <w:start w:val="1"/>
      <w:numFmt w:val="bullet"/>
      <w:lvlText w:val="o"/>
      <w:lvlJc w:val="left"/>
      <w:pPr>
        <w:ind w:left="3869" w:hanging="360"/>
      </w:pPr>
      <w:rPr>
        <w:rFonts w:ascii="Courier New" w:hAnsi="Courier New" w:cs="Courier New" w:hint="default"/>
      </w:rPr>
    </w:lvl>
    <w:lvl w:ilvl="5" w:tplc="08090005" w:tentative="1">
      <w:start w:val="1"/>
      <w:numFmt w:val="bullet"/>
      <w:lvlText w:val=""/>
      <w:lvlJc w:val="left"/>
      <w:pPr>
        <w:ind w:left="4589" w:hanging="360"/>
      </w:pPr>
      <w:rPr>
        <w:rFonts w:ascii="Wingdings" w:hAnsi="Wingdings" w:hint="default"/>
      </w:rPr>
    </w:lvl>
    <w:lvl w:ilvl="6" w:tplc="08090001" w:tentative="1">
      <w:start w:val="1"/>
      <w:numFmt w:val="bullet"/>
      <w:lvlText w:val=""/>
      <w:lvlJc w:val="left"/>
      <w:pPr>
        <w:ind w:left="5309" w:hanging="360"/>
      </w:pPr>
      <w:rPr>
        <w:rFonts w:ascii="Symbol" w:hAnsi="Symbol" w:hint="default"/>
      </w:rPr>
    </w:lvl>
    <w:lvl w:ilvl="7" w:tplc="08090003" w:tentative="1">
      <w:start w:val="1"/>
      <w:numFmt w:val="bullet"/>
      <w:lvlText w:val="o"/>
      <w:lvlJc w:val="left"/>
      <w:pPr>
        <w:ind w:left="6029" w:hanging="360"/>
      </w:pPr>
      <w:rPr>
        <w:rFonts w:ascii="Courier New" w:hAnsi="Courier New" w:cs="Courier New" w:hint="default"/>
      </w:rPr>
    </w:lvl>
    <w:lvl w:ilvl="8" w:tplc="08090005" w:tentative="1">
      <w:start w:val="1"/>
      <w:numFmt w:val="bullet"/>
      <w:lvlText w:val=""/>
      <w:lvlJc w:val="left"/>
      <w:pPr>
        <w:ind w:left="6749" w:hanging="360"/>
      </w:pPr>
      <w:rPr>
        <w:rFonts w:ascii="Wingdings" w:hAnsi="Wingdings" w:hint="default"/>
      </w:rPr>
    </w:lvl>
  </w:abstractNum>
  <w:abstractNum w:abstractNumId="38" w15:restartNumberingAfterBreak="0">
    <w:nsid w:val="6F987BEA"/>
    <w:multiLevelType w:val="hybridMultilevel"/>
    <w:tmpl w:val="4AD88FA8"/>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8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37"/>
  </w:num>
  <w:num w:numId="4">
    <w:abstractNumId w:val="33"/>
  </w:num>
  <w:num w:numId="5">
    <w:abstractNumId w:val="19"/>
  </w:num>
  <w:num w:numId="6">
    <w:abstractNumId w:val="35"/>
  </w:num>
  <w:num w:numId="7">
    <w:abstractNumId w:val="24"/>
  </w:num>
  <w:num w:numId="8">
    <w:abstractNumId w:val="36"/>
  </w:num>
  <w:num w:numId="9">
    <w:abstractNumId w:val="6"/>
  </w:num>
  <w:num w:numId="10">
    <w:abstractNumId w:val="9"/>
  </w:num>
  <w:num w:numId="11">
    <w:abstractNumId w:val="8"/>
  </w:num>
  <w:num w:numId="12">
    <w:abstractNumId w:val="14"/>
  </w:num>
  <w:num w:numId="13">
    <w:abstractNumId w:val="25"/>
  </w:num>
  <w:num w:numId="14">
    <w:abstractNumId w:val="26"/>
  </w:num>
  <w:num w:numId="15">
    <w:abstractNumId w:val="32"/>
  </w:num>
  <w:num w:numId="16">
    <w:abstractNumId w:val="16"/>
  </w:num>
  <w:num w:numId="17">
    <w:abstractNumId w:val="12"/>
  </w:num>
  <w:num w:numId="18">
    <w:abstractNumId w:val="29"/>
  </w:num>
  <w:num w:numId="19">
    <w:abstractNumId w:val="18"/>
  </w:num>
  <w:num w:numId="20">
    <w:abstractNumId w:val="7"/>
  </w:num>
  <w:num w:numId="21">
    <w:abstractNumId w:val="1"/>
  </w:num>
  <w:num w:numId="22">
    <w:abstractNumId w:val="0"/>
  </w:num>
  <w:num w:numId="23">
    <w:abstractNumId w:val="27"/>
  </w:num>
  <w:num w:numId="24">
    <w:abstractNumId w:val="4"/>
  </w:num>
  <w:num w:numId="25">
    <w:abstractNumId w:val="15"/>
  </w:num>
  <w:num w:numId="26">
    <w:abstractNumId w:val="28"/>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0"/>
  </w:num>
  <w:num w:numId="30">
    <w:abstractNumId w:val="23"/>
  </w:num>
  <w:num w:numId="31">
    <w:abstractNumId w:val="31"/>
  </w:num>
  <w:num w:numId="32">
    <w:abstractNumId w:val="20"/>
  </w:num>
  <w:num w:numId="33">
    <w:abstractNumId w:val="30"/>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21"/>
  </w:num>
  <w:num w:numId="37">
    <w:abstractNumId w:val="38"/>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evenAndOddHeaders/>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475"/>
    <w:rsid w:val="00006A28"/>
    <w:rsid w:val="00017368"/>
    <w:rsid w:val="0002529F"/>
    <w:rsid w:val="0002564D"/>
    <w:rsid w:val="00035A33"/>
    <w:rsid w:val="0004591E"/>
    <w:rsid w:val="00046793"/>
    <w:rsid w:val="00046B68"/>
    <w:rsid w:val="00054F8A"/>
    <w:rsid w:val="00074E1D"/>
    <w:rsid w:val="00077122"/>
    <w:rsid w:val="00087D5C"/>
    <w:rsid w:val="00092702"/>
    <w:rsid w:val="00096249"/>
    <w:rsid w:val="000A0AD0"/>
    <w:rsid w:val="000A2181"/>
    <w:rsid w:val="000C5B6E"/>
    <w:rsid w:val="000D0D95"/>
    <w:rsid w:val="000D72C7"/>
    <w:rsid w:val="000D7853"/>
    <w:rsid w:val="000E1E49"/>
    <w:rsid w:val="000E61F2"/>
    <w:rsid w:val="000E6DB6"/>
    <w:rsid w:val="000E726C"/>
    <w:rsid w:val="000F7625"/>
    <w:rsid w:val="00100D1E"/>
    <w:rsid w:val="001149C1"/>
    <w:rsid w:val="00121634"/>
    <w:rsid w:val="00121E61"/>
    <w:rsid w:val="001262A3"/>
    <w:rsid w:val="00127219"/>
    <w:rsid w:val="00131256"/>
    <w:rsid w:val="00134ED7"/>
    <w:rsid w:val="00136860"/>
    <w:rsid w:val="00150D56"/>
    <w:rsid w:val="001522A4"/>
    <w:rsid w:val="001573B8"/>
    <w:rsid w:val="001609AD"/>
    <w:rsid w:val="001732A5"/>
    <w:rsid w:val="00181EB7"/>
    <w:rsid w:val="001923A9"/>
    <w:rsid w:val="001A0508"/>
    <w:rsid w:val="001A36E6"/>
    <w:rsid w:val="001A545C"/>
    <w:rsid w:val="001C79FD"/>
    <w:rsid w:val="001D1930"/>
    <w:rsid w:val="001D5960"/>
    <w:rsid w:val="001E5F01"/>
    <w:rsid w:val="001E5F56"/>
    <w:rsid w:val="001E6909"/>
    <w:rsid w:val="002027F9"/>
    <w:rsid w:val="00205F5C"/>
    <w:rsid w:val="00206B32"/>
    <w:rsid w:val="00214354"/>
    <w:rsid w:val="00216FAD"/>
    <w:rsid w:val="00217CB3"/>
    <w:rsid w:val="002208C4"/>
    <w:rsid w:val="00221B96"/>
    <w:rsid w:val="00224329"/>
    <w:rsid w:val="00225A8B"/>
    <w:rsid w:val="00242D89"/>
    <w:rsid w:val="00244D7A"/>
    <w:rsid w:val="0024777A"/>
    <w:rsid w:val="00253365"/>
    <w:rsid w:val="00257C7F"/>
    <w:rsid w:val="00266B81"/>
    <w:rsid w:val="002805E2"/>
    <w:rsid w:val="0028311E"/>
    <w:rsid w:val="00291F82"/>
    <w:rsid w:val="00295B73"/>
    <w:rsid w:val="002A0465"/>
    <w:rsid w:val="002A4DCC"/>
    <w:rsid w:val="002A558F"/>
    <w:rsid w:val="002B47E1"/>
    <w:rsid w:val="002B4A5B"/>
    <w:rsid w:val="002B70A9"/>
    <w:rsid w:val="002D1D26"/>
    <w:rsid w:val="002E7376"/>
    <w:rsid w:val="002F06B3"/>
    <w:rsid w:val="00311413"/>
    <w:rsid w:val="00324CFE"/>
    <w:rsid w:val="00334706"/>
    <w:rsid w:val="00344A3E"/>
    <w:rsid w:val="00347939"/>
    <w:rsid w:val="0036014A"/>
    <w:rsid w:val="00360371"/>
    <w:rsid w:val="003646FF"/>
    <w:rsid w:val="00375204"/>
    <w:rsid w:val="00384814"/>
    <w:rsid w:val="0039096E"/>
    <w:rsid w:val="00396CCC"/>
    <w:rsid w:val="003A23E1"/>
    <w:rsid w:val="003A43E9"/>
    <w:rsid w:val="003A5F22"/>
    <w:rsid w:val="003A671E"/>
    <w:rsid w:val="003B0519"/>
    <w:rsid w:val="003C47D0"/>
    <w:rsid w:val="003C5576"/>
    <w:rsid w:val="003D4BA1"/>
    <w:rsid w:val="003D7064"/>
    <w:rsid w:val="003E5237"/>
    <w:rsid w:val="003E5F79"/>
    <w:rsid w:val="003F4F8A"/>
    <w:rsid w:val="00402226"/>
    <w:rsid w:val="00426B5D"/>
    <w:rsid w:val="00447D49"/>
    <w:rsid w:val="0045109D"/>
    <w:rsid w:val="00451152"/>
    <w:rsid w:val="00453DAB"/>
    <w:rsid w:val="00463342"/>
    <w:rsid w:val="00464090"/>
    <w:rsid w:val="004654FF"/>
    <w:rsid w:val="004701A1"/>
    <w:rsid w:val="004755AE"/>
    <w:rsid w:val="00476C9A"/>
    <w:rsid w:val="004905C3"/>
    <w:rsid w:val="004907DE"/>
    <w:rsid w:val="00496B04"/>
    <w:rsid w:val="004A2898"/>
    <w:rsid w:val="004A3021"/>
    <w:rsid w:val="004C0390"/>
    <w:rsid w:val="004D21C7"/>
    <w:rsid w:val="004D2754"/>
    <w:rsid w:val="004D3E5B"/>
    <w:rsid w:val="004E1605"/>
    <w:rsid w:val="004E474D"/>
    <w:rsid w:val="004E7B46"/>
    <w:rsid w:val="004E7CCF"/>
    <w:rsid w:val="004F06B5"/>
    <w:rsid w:val="004F3CA1"/>
    <w:rsid w:val="004F46A1"/>
    <w:rsid w:val="0050285B"/>
    <w:rsid w:val="00507045"/>
    <w:rsid w:val="00513405"/>
    <w:rsid w:val="00513C29"/>
    <w:rsid w:val="005211DD"/>
    <w:rsid w:val="00524398"/>
    <w:rsid w:val="00525F24"/>
    <w:rsid w:val="00540F44"/>
    <w:rsid w:val="00546009"/>
    <w:rsid w:val="0055173D"/>
    <w:rsid w:val="005561D2"/>
    <w:rsid w:val="0055756D"/>
    <w:rsid w:val="005632D7"/>
    <w:rsid w:val="005657DA"/>
    <w:rsid w:val="0056614C"/>
    <w:rsid w:val="0057597B"/>
    <w:rsid w:val="00577256"/>
    <w:rsid w:val="00580F45"/>
    <w:rsid w:val="00584BB9"/>
    <w:rsid w:val="00584D51"/>
    <w:rsid w:val="005B18A7"/>
    <w:rsid w:val="005C25B3"/>
    <w:rsid w:val="005C4A0D"/>
    <w:rsid w:val="005D6E16"/>
    <w:rsid w:val="005E0125"/>
    <w:rsid w:val="005E1599"/>
    <w:rsid w:val="005F4B19"/>
    <w:rsid w:val="005F4E9B"/>
    <w:rsid w:val="005F515D"/>
    <w:rsid w:val="005F734C"/>
    <w:rsid w:val="00601FCC"/>
    <w:rsid w:val="00612B3B"/>
    <w:rsid w:val="00614A35"/>
    <w:rsid w:val="006422FE"/>
    <w:rsid w:val="00643651"/>
    <w:rsid w:val="00643F23"/>
    <w:rsid w:val="00650218"/>
    <w:rsid w:val="00650ECD"/>
    <w:rsid w:val="00653AE1"/>
    <w:rsid w:val="00667637"/>
    <w:rsid w:val="006749BE"/>
    <w:rsid w:val="00681458"/>
    <w:rsid w:val="00682889"/>
    <w:rsid w:val="00684FA4"/>
    <w:rsid w:val="006875C3"/>
    <w:rsid w:val="00693C8F"/>
    <w:rsid w:val="006A339D"/>
    <w:rsid w:val="006B2726"/>
    <w:rsid w:val="006B3F87"/>
    <w:rsid w:val="006C150E"/>
    <w:rsid w:val="006C43D1"/>
    <w:rsid w:val="006C49DF"/>
    <w:rsid w:val="006C6159"/>
    <w:rsid w:val="006D1111"/>
    <w:rsid w:val="006D24FF"/>
    <w:rsid w:val="006D5226"/>
    <w:rsid w:val="006E0255"/>
    <w:rsid w:val="006E191E"/>
    <w:rsid w:val="006E3805"/>
    <w:rsid w:val="006E48A8"/>
    <w:rsid w:val="006F6284"/>
    <w:rsid w:val="0070046D"/>
    <w:rsid w:val="007116E6"/>
    <w:rsid w:val="0071500F"/>
    <w:rsid w:val="007179C9"/>
    <w:rsid w:val="00725A6E"/>
    <w:rsid w:val="007512E4"/>
    <w:rsid w:val="00771975"/>
    <w:rsid w:val="0078488D"/>
    <w:rsid w:val="007934A3"/>
    <w:rsid w:val="007A206E"/>
    <w:rsid w:val="007A2AF7"/>
    <w:rsid w:val="007A4448"/>
    <w:rsid w:val="007B35DF"/>
    <w:rsid w:val="007B3E61"/>
    <w:rsid w:val="007B480A"/>
    <w:rsid w:val="007B7B0E"/>
    <w:rsid w:val="007D0ED1"/>
    <w:rsid w:val="007D1062"/>
    <w:rsid w:val="007D2575"/>
    <w:rsid w:val="007D6909"/>
    <w:rsid w:val="007D774C"/>
    <w:rsid w:val="007F6615"/>
    <w:rsid w:val="00800220"/>
    <w:rsid w:val="008141F4"/>
    <w:rsid w:val="00814EB1"/>
    <w:rsid w:val="00820397"/>
    <w:rsid w:val="00824F25"/>
    <w:rsid w:val="008267DF"/>
    <w:rsid w:val="00833122"/>
    <w:rsid w:val="00833BF6"/>
    <w:rsid w:val="008352B6"/>
    <w:rsid w:val="00836736"/>
    <w:rsid w:val="008427B1"/>
    <w:rsid w:val="008907D3"/>
    <w:rsid w:val="00890C9A"/>
    <w:rsid w:val="0089529F"/>
    <w:rsid w:val="008966D8"/>
    <w:rsid w:val="0089754A"/>
    <w:rsid w:val="008A5735"/>
    <w:rsid w:val="008A7AA4"/>
    <w:rsid w:val="008B3381"/>
    <w:rsid w:val="008C7A7C"/>
    <w:rsid w:val="008F3AAE"/>
    <w:rsid w:val="008F43A1"/>
    <w:rsid w:val="0091037C"/>
    <w:rsid w:val="00922227"/>
    <w:rsid w:val="00940D92"/>
    <w:rsid w:val="00944C29"/>
    <w:rsid w:val="009471F8"/>
    <w:rsid w:val="00954EF3"/>
    <w:rsid w:val="0095665A"/>
    <w:rsid w:val="00963992"/>
    <w:rsid w:val="00974C19"/>
    <w:rsid w:val="009852BA"/>
    <w:rsid w:val="00995F63"/>
    <w:rsid w:val="009A118B"/>
    <w:rsid w:val="009A6A5E"/>
    <w:rsid w:val="009B0299"/>
    <w:rsid w:val="009B4387"/>
    <w:rsid w:val="009B4F93"/>
    <w:rsid w:val="009B5092"/>
    <w:rsid w:val="009B6BF1"/>
    <w:rsid w:val="009C6DF5"/>
    <w:rsid w:val="009D770B"/>
    <w:rsid w:val="009E4D4B"/>
    <w:rsid w:val="009E4E3F"/>
    <w:rsid w:val="009E6907"/>
    <w:rsid w:val="009E7E73"/>
    <w:rsid w:val="009F2D2F"/>
    <w:rsid w:val="009F33E8"/>
    <w:rsid w:val="009F651B"/>
    <w:rsid w:val="00A001EA"/>
    <w:rsid w:val="00A22724"/>
    <w:rsid w:val="00A22BCA"/>
    <w:rsid w:val="00A472C7"/>
    <w:rsid w:val="00A502A9"/>
    <w:rsid w:val="00A51EB4"/>
    <w:rsid w:val="00A52BA2"/>
    <w:rsid w:val="00A54427"/>
    <w:rsid w:val="00A54C99"/>
    <w:rsid w:val="00A658AE"/>
    <w:rsid w:val="00A677D2"/>
    <w:rsid w:val="00A73C03"/>
    <w:rsid w:val="00A80E71"/>
    <w:rsid w:val="00A86B94"/>
    <w:rsid w:val="00A90228"/>
    <w:rsid w:val="00A924F0"/>
    <w:rsid w:val="00AA103C"/>
    <w:rsid w:val="00AA39E5"/>
    <w:rsid w:val="00AA580B"/>
    <w:rsid w:val="00AB169D"/>
    <w:rsid w:val="00AB4C7A"/>
    <w:rsid w:val="00AC1492"/>
    <w:rsid w:val="00AC1A23"/>
    <w:rsid w:val="00AC790D"/>
    <w:rsid w:val="00AD0738"/>
    <w:rsid w:val="00AD285B"/>
    <w:rsid w:val="00AD38F9"/>
    <w:rsid w:val="00AD429A"/>
    <w:rsid w:val="00AE1200"/>
    <w:rsid w:val="00AE3D2A"/>
    <w:rsid w:val="00AF3221"/>
    <w:rsid w:val="00B00251"/>
    <w:rsid w:val="00B029CC"/>
    <w:rsid w:val="00B15798"/>
    <w:rsid w:val="00B1595F"/>
    <w:rsid w:val="00B16281"/>
    <w:rsid w:val="00B230A9"/>
    <w:rsid w:val="00B255A8"/>
    <w:rsid w:val="00B27941"/>
    <w:rsid w:val="00B32106"/>
    <w:rsid w:val="00B355AB"/>
    <w:rsid w:val="00B36F90"/>
    <w:rsid w:val="00B420CE"/>
    <w:rsid w:val="00B45DAE"/>
    <w:rsid w:val="00B502E0"/>
    <w:rsid w:val="00B5376A"/>
    <w:rsid w:val="00B54D9C"/>
    <w:rsid w:val="00B574D6"/>
    <w:rsid w:val="00B603D3"/>
    <w:rsid w:val="00B66B0D"/>
    <w:rsid w:val="00B85995"/>
    <w:rsid w:val="00B91317"/>
    <w:rsid w:val="00B938D2"/>
    <w:rsid w:val="00B94A62"/>
    <w:rsid w:val="00B97B75"/>
    <w:rsid w:val="00BA25D7"/>
    <w:rsid w:val="00BA2E3B"/>
    <w:rsid w:val="00BB1D52"/>
    <w:rsid w:val="00BC30B1"/>
    <w:rsid w:val="00BC6213"/>
    <w:rsid w:val="00BF120B"/>
    <w:rsid w:val="00C000BB"/>
    <w:rsid w:val="00C14356"/>
    <w:rsid w:val="00C17F36"/>
    <w:rsid w:val="00C235B4"/>
    <w:rsid w:val="00C30533"/>
    <w:rsid w:val="00C3544C"/>
    <w:rsid w:val="00C42839"/>
    <w:rsid w:val="00C43045"/>
    <w:rsid w:val="00C44E37"/>
    <w:rsid w:val="00C47674"/>
    <w:rsid w:val="00C50CD3"/>
    <w:rsid w:val="00C51A58"/>
    <w:rsid w:val="00C52E65"/>
    <w:rsid w:val="00C60B19"/>
    <w:rsid w:val="00C73337"/>
    <w:rsid w:val="00C77857"/>
    <w:rsid w:val="00C8757A"/>
    <w:rsid w:val="00CA17AF"/>
    <w:rsid w:val="00CA3203"/>
    <w:rsid w:val="00CA35D1"/>
    <w:rsid w:val="00CA3A1B"/>
    <w:rsid w:val="00CA4131"/>
    <w:rsid w:val="00CB3A64"/>
    <w:rsid w:val="00CC1DCC"/>
    <w:rsid w:val="00CC25A9"/>
    <w:rsid w:val="00CD064D"/>
    <w:rsid w:val="00CE369C"/>
    <w:rsid w:val="00CE4F25"/>
    <w:rsid w:val="00CF085E"/>
    <w:rsid w:val="00CF1660"/>
    <w:rsid w:val="00CF1A90"/>
    <w:rsid w:val="00D02B87"/>
    <w:rsid w:val="00D02E8A"/>
    <w:rsid w:val="00D07ECC"/>
    <w:rsid w:val="00D10ACF"/>
    <w:rsid w:val="00D12C7B"/>
    <w:rsid w:val="00D12FC0"/>
    <w:rsid w:val="00D15D2C"/>
    <w:rsid w:val="00D30887"/>
    <w:rsid w:val="00D31D5C"/>
    <w:rsid w:val="00D351E2"/>
    <w:rsid w:val="00D3665B"/>
    <w:rsid w:val="00D36FF6"/>
    <w:rsid w:val="00D37726"/>
    <w:rsid w:val="00D427DE"/>
    <w:rsid w:val="00D53815"/>
    <w:rsid w:val="00D54133"/>
    <w:rsid w:val="00D56957"/>
    <w:rsid w:val="00D60DEE"/>
    <w:rsid w:val="00D65592"/>
    <w:rsid w:val="00D70D40"/>
    <w:rsid w:val="00D75C45"/>
    <w:rsid w:val="00D80298"/>
    <w:rsid w:val="00DA4D63"/>
    <w:rsid w:val="00DA59DA"/>
    <w:rsid w:val="00DB1F87"/>
    <w:rsid w:val="00DB2AC2"/>
    <w:rsid w:val="00DB37DB"/>
    <w:rsid w:val="00DB3F99"/>
    <w:rsid w:val="00DC21EA"/>
    <w:rsid w:val="00DD03BB"/>
    <w:rsid w:val="00DD4394"/>
    <w:rsid w:val="00DE70D2"/>
    <w:rsid w:val="00DE79F7"/>
    <w:rsid w:val="00DF011A"/>
    <w:rsid w:val="00DF0D92"/>
    <w:rsid w:val="00DF5323"/>
    <w:rsid w:val="00E0321F"/>
    <w:rsid w:val="00E068B6"/>
    <w:rsid w:val="00E14FAA"/>
    <w:rsid w:val="00E1630B"/>
    <w:rsid w:val="00E21B26"/>
    <w:rsid w:val="00E27DD2"/>
    <w:rsid w:val="00E33626"/>
    <w:rsid w:val="00E44F87"/>
    <w:rsid w:val="00E45605"/>
    <w:rsid w:val="00E46E7B"/>
    <w:rsid w:val="00E519A8"/>
    <w:rsid w:val="00E6310F"/>
    <w:rsid w:val="00E63475"/>
    <w:rsid w:val="00E6627E"/>
    <w:rsid w:val="00E73353"/>
    <w:rsid w:val="00E73B88"/>
    <w:rsid w:val="00E74514"/>
    <w:rsid w:val="00E7632A"/>
    <w:rsid w:val="00E770EC"/>
    <w:rsid w:val="00E776BD"/>
    <w:rsid w:val="00E80E7C"/>
    <w:rsid w:val="00E81D34"/>
    <w:rsid w:val="00E82199"/>
    <w:rsid w:val="00E854D5"/>
    <w:rsid w:val="00E877FD"/>
    <w:rsid w:val="00E96113"/>
    <w:rsid w:val="00EA45A4"/>
    <w:rsid w:val="00EB47F9"/>
    <w:rsid w:val="00EB662B"/>
    <w:rsid w:val="00EC14A6"/>
    <w:rsid w:val="00EC451C"/>
    <w:rsid w:val="00EC59BA"/>
    <w:rsid w:val="00ED62D7"/>
    <w:rsid w:val="00EE5D1A"/>
    <w:rsid w:val="00EF044A"/>
    <w:rsid w:val="00EF28BB"/>
    <w:rsid w:val="00F11F45"/>
    <w:rsid w:val="00F12BFC"/>
    <w:rsid w:val="00F15E6F"/>
    <w:rsid w:val="00F310A0"/>
    <w:rsid w:val="00F346C3"/>
    <w:rsid w:val="00F41A2F"/>
    <w:rsid w:val="00F42296"/>
    <w:rsid w:val="00F64282"/>
    <w:rsid w:val="00F65D67"/>
    <w:rsid w:val="00F72B88"/>
    <w:rsid w:val="00F72F19"/>
    <w:rsid w:val="00F81232"/>
    <w:rsid w:val="00F92A5C"/>
    <w:rsid w:val="00FA015F"/>
    <w:rsid w:val="00FA43F5"/>
    <w:rsid w:val="00FD0FA4"/>
    <w:rsid w:val="00FD4047"/>
    <w:rsid w:val="00FD51E1"/>
    <w:rsid w:val="00FE1896"/>
    <w:rsid w:val="00FE2501"/>
    <w:rsid w:val="00FE6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EBE49BE"/>
  <w15:chartTrackingRefBased/>
  <w15:docId w15:val="{393243D7-08AB-4BDC-BD74-7CD16D43E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uiPriority="0" w:qFormat="1"/>
    <w:lsdException w:name="heading 3" w:uiPriority="0" w:qFormat="1"/>
    <w:lsdException w:name="heading 4" w:semiHidden="1" w:uiPriority="0"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semiHidden="1" w:uiPriority="39"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iPriority="0" w:qFormat="1"/>
    <w:lsdException w:name="annotation text" w:semiHidden="1"/>
    <w:lsdException w:name="index heading" w:semiHidden="1"/>
    <w:lsdException w:name="caption" w:semiHidden="1" w:uiPriority="0"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lsdException w:name="page number" w:semiHidden="1"/>
    <w:lsdException w:name="endnote reference" w:semiHidden="1" w:uiPriority="0" w:unhideWhenUsed="1"/>
    <w:lsdException w:name="endnote text" w:semiHidden="1" w:uiPriority="0" w:unhideWhenUsed="1"/>
    <w:lsdException w:name="table of authorities" w:semiHidden="1"/>
    <w:lsdException w:name="macro" w:semiHidden="1"/>
    <w:lsdException w:name="toa heading" w:semiHidden="1"/>
    <w:lsdException w:name="List" w:semiHidden="1" w:qFormat="1"/>
    <w:lsdException w:name="List Bullet" w:uiPriority="0" w:qFormat="1"/>
    <w:lsdException w:name="List Number" w:uiPriority="2" w:qFormat="1"/>
    <w:lsdException w:name="List 2" w:semiHidden="1"/>
    <w:lsdException w:name="List 3" w:semiHidden="1"/>
    <w:lsdException w:name="List 4" w:semiHidden="1"/>
    <w:lsdException w:name="List 5" w:semiHidden="1"/>
    <w:lsdException w:name="List Bullet 2" w:uiPriority="0" w:qFormat="1"/>
    <w:lsdException w:name="List Bullet 3" w:semiHidden="1" w:uiPriority="0"/>
    <w:lsdException w:name="List Bullet 4" w:semiHidden="1" w:uiPriority="0"/>
    <w:lsdException w:name="List Bullet 5" w:semiHidden="1" w:uiPriority="0"/>
    <w:lsdException w:name="List Number 2" w:uiPriority="1"/>
    <w:lsdException w:name="List Number 3" w:uiPriority="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uiPriority="0" w:qFormat="1"/>
    <w:lsdException w:name="Body Text Indent"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lsdException w:name="Date"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uiPriority="0"/>
    <w:lsdException w:name="Strong" w:semiHidden="1" w:uiPriority="22"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rsid w:val="00833BF6"/>
    <w:rPr>
      <w:sz w:val="22"/>
      <w:szCs w:val="24"/>
      <w:lang w:eastAsia="en-US"/>
    </w:rPr>
  </w:style>
  <w:style w:type="paragraph" w:styleId="Heading1">
    <w:name w:val="heading 1"/>
    <w:next w:val="BodyText"/>
    <w:link w:val="Heading1Char"/>
    <w:qFormat/>
    <w:rsid w:val="00AC790D"/>
    <w:pPr>
      <w:keepNext/>
      <w:keepLines/>
      <w:pageBreakBefore/>
      <w:spacing w:after="300"/>
      <w:outlineLvl w:val="0"/>
    </w:pPr>
    <w:rPr>
      <w:rFonts w:eastAsiaTheme="majorEastAsia" w:cstheme="majorBidi"/>
      <w:b/>
      <w:bCs/>
      <w:color w:val="323157"/>
      <w:sz w:val="40"/>
      <w:szCs w:val="32"/>
      <w:lang w:eastAsia="en-US"/>
    </w:rPr>
  </w:style>
  <w:style w:type="paragraph" w:styleId="Heading2">
    <w:name w:val="heading 2"/>
    <w:basedOn w:val="Heading1"/>
    <w:next w:val="BodyText"/>
    <w:link w:val="Heading2Char"/>
    <w:qFormat/>
    <w:rsid w:val="00AC790D"/>
    <w:pPr>
      <w:pageBreakBefore w:val="0"/>
      <w:spacing w:before="240" w:after="240" w:line="400" w:lineRule="atLeast"/>
      <w:contextualSpacing/>
      <w:outlineLvl w:val="1"/>
    </w:pPr>
    <w:rPr>
      <w:bCs w:val="0"/>
      <w:iCs/>
      <w:sz w:val="28"/>
      <w:szCs w:val="28"/>
    </w:rPr>
  </w:style>
  <w:style w:type="paragraph" w:styleId="Heading3">
    <w:name w:val="heading 3"/>
    <w:basedOn w:val="Heading1"/>
    <w:next w:val="BodyText"/>
    <w:link w:val="Heading3Char"/>
    <w:qFormat/>
    <w:rsid w:val="009B0299"/>
    <w:pPr>
      <w:pageBreakBefore w:val="0"/>
      <w:spacing w:before="240" w:after="120"/>
      <w:outlineLvl w:val="2"/>
    </w:pPr>
    <w:rPr>
      <w:bCs w:val="0"/>
      <w:sz w:val="24"/>
      <w:szCs w:val="26"/>
    </w:rPr>
  </w:style>
  <w:style w:type="paragraph" w:styleId="Heading4">
    <w:name w:val="heading 4"/>
    <w:basedOn w:val="Normal"/>
    <w:next w:val="Normal"/>
    <w:link w:val="Heading4Char"/>
    <w:qFormat/>
    <w:rsid w:val="00AC1492"/>
    <w:pPr>
      <w:keepNext/>
      <w:keepLines/>
      <w:spacing w:before="40" w:after="40"/>
      <w:outlineLvl w:val="3"/>
    </w:pPr>
    <w:rPr>
      <w:rFonts w:cs="Arial"/>
      <w:b/>
      <w:iCs/>
      <w:color w:val="252441" w:themeColor="accent1" w:themeShade="BF"/>
    </w:rPr>
  </w:style>
  <w:style w:type="paragraph" w:styleId="Heading5">
    <w:name w:val="heading 5"/>
    <w:basedOn w:val="Normal"/>
    <w:next w:val="Normal"/>
    <w:link w:val="Heading5Char"/>
    <w:qFormat/>
    <w:rsid w:val="003B0519"/>
    <w:pPr>
      <w:keepNext/>
      <w:keepLines/>
      <w:spacing w:before="40"/>
      <w:outlineLvl w:val="4"/>
    </w:pPr>
    <w:rPr>
      <w:rFonts w:asciiTheme="majorHAnsi" w:eastAsiaTheme="majorEastAsia" w:hAnsiTheme="majorHAnsi" w:cstheme="majorBidi"/>
      <w:color w:val="252441" w:themeColor="accent1" w:themeShade="BF"/>
    </w:rPr>
  </w:style>
  <w:style w:type="paragraph" w:styleId="Heading6">
    <w:name w:val="heading 6"/>
    <w:basedOn w:val="Normal"/>
    <w:next w:val="Normal"/>
    <w:link w:val="Heading6Char"/>
    <w:unhideWhenUsed/>
    <w:qFormat/>
    <w:rsid w:val="003B0519"/>
    <w:pPr>
      <w:numPr>
        <w:ilvl w:val="5"/>
        <w:numId w:val="6"/>
      </w:numPr>
      <w:spacing w:before="240" w:after="60" w:line="288" w:lineRule="auto"/>
      <w:outlineLvl w:val="5"/>
    </w:pPr>
    <w:rPr>
      <w:rFonts w:ascii="Calibri" w:eastAsia="Times New Roman" w:hAnsi="Calibri"/>
      <w:b/>
      <w:bCs/>
      <w:szCs w:val="22"/>
      <w:lang w:eastAsia="en-GB"/>
    </w:rPr>
  </w:style>
  <w:style w:type="paragraph" w:styleId="Heading7">
    <w:name w:val="heading 7"/>
    <w:basedOn w:val="Normal"/>
    <w:next w:val="Normal"/>
    <w:link w:val="Heading7Char"/>
    <w:semiHidden/>
    <w:unhideWhenUsed/>
    <w:qFormat/>
    <w:rsid w:val="003B0519"/>
    <w:pPr>
      <w:numPr>
        <w:ilvl w:val="6"/>
        <w:numId w:val="6"/>
      </w:numPr>
      <w:spacing w:before="240" w:after="60" w:line="288" w:lineRule="auto"/>
      <w:outlineLvl w:val="6"/>
    </w:pPr>
    <w:rPr>
      <w:rFonts w:ascii="Calibri" w:eastAsia="Times New Roman" w:hAnsi="Calibri"/>
      <w:lang w:eastAsia="en-GB"/>
    </w:rPr>
  </w:style>
  <w:style w:type="paragraph" w:styleId="Heading8">
    <w:name w:val="heading 8"/>
    <w:basedOn w:val="Normal"/>
    <w:next w:val="Normal"/>
    <w:link w:val="Heading8Char"/>
    <w:semiHidden/>
    <w:unhideWhenUsed/>
    <w:qFormat/>
    <w:rsid w:val="003B0519"/>
    <w:pPr>
      <w:numPr>
        <w:ilvl w:val="7"/>
        <w:numId w:val="6"/>
      </w:numPr>
      <w:spacing w:before="240" w:after="60" w:line="288" w:lineRule="auto"/>
      <w:outlineLvl w:val="7"/>
    </w:pPr>
    <w:rPr>
      <w:rFonts w:ascii="Calibri" w:eastAsia="Times New Roman" w:hAnsi="Calibri"/>
      <w:i/>
      <w:iCs/>
      <w:lang w:eastAsia="en-GB"/>
    </w:rPr>
  </w:style>
  <w:style w:type="paragraph" w:styleId="Heading9">
    <w:name w:val="heading 9"/>
    <w:basedOn w:val="Normal"/>
    <w:next w:val="Normal"/>
    <w:link w:val="Heading9Char"/>
    <w:semiHidden/>
    <w:unhideWhenUsed/>
    <w:qFormat/>
    <w:rsid w:val="003B0519"/>
    <w:pPr>
      <w:numPr>
        <w:ilvl w:val="8"/>
        <w:numId w:val="6"/>
      </w:numPr>
      <w:spacing w:before="240" w:after="60" w:line="288" w:lineRule="auto"/>
      <w:outlineLvl w:val="8"/>
    </w:pPr>
    <w:rPr>
      <w:rFonts w:ascii="Cambria" w:eastAsia="Times New Roman" w:hAnsi="Cambria"/>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qFormat/>
    <w:rsid w:val="00402226"/>
    <w:pPr>
      <w:spacing w:before="4400"/>
      <w:outlineLvl w:val="0"/>
    </w:pPr>
    <w:rPr>
      <w:rFonts w:eastAsiaTheme="majorEastAsia" w:cstheme="majorBidi"/>
      <w:b/>
      <w:bCs/>
      <w:color w:val="323157"/>
      <w:sz w:val="56"/>
      <w:szCs w:val="32"/>
      <w:lang w:eastAsia="en-US"/>
    </w:rPr>
  </w:style>
  <w:style w:type="character" w:customStyle="1" w:styleId="TitleChar">
    <w:name w:val="Title Char"/>
    <w:basedOn w:val="DefaultParagraphFont"/>
    <w:link w:val="Title"/>
    <w:rsid w:val="00402226"/>
    <w:rPr>
      <w:rFonts w:eastAsiaTheme="majorEastAsia" w:cstheme="majorBidi"/>
      <w:b/>
      <w:bCs/>
      <w:color w:val="323157"/>
      <w:sz w:val="56"/>
      <w:szCs w:val="32"/>
      <w:lang w:eastAsia="en-US"/>
    </w:rPr>
  </w:style>
  <w:style w:type="paragraph" w:styleId="BodyText">
    <w:name w:val="Body Text"/>
    <w:link w:val="BodyTextChar"/>
    <w:qFormat/>
    <w:rsid w:val="00AC790D"/>
    <w:pPr>
      <w:spacing w:after="240" w:line="300" w:lineRule="atLeast"/>
    </w:pPr>
    <w:rPr>
      <w:sz w:val="22"/>
      <w:szCs w:val="24"/>
      <w:lang w:eastAsia="en-US"/>
    </w:rPr>
  </w:style>
  <w:style w:type="character" w:customStyle="1" w:styleId="BodyTextChar">
    <w:name w:val="Body Text Char"/>
    <w:basedOn w:val="DefaultParagraphFont"/>
    <w:link w:val="BodyText"/>
    <w:rsid w:val="00AC790D"/>
    <w:rPr>
      <w:sz w:val="22"/>
      <w:szCs w:val="24"/>
      <w:lang w:eastAsia="en-US"/>
    </w:rPr>
  </w:style>
  <w:style w:type="character" w:customStyle="1" w:styleId="Heading1Char">
    <w:name w:val="Heading 1 Char"/>
    <w:basedOn w:val="DefaultParagraphFont"/>
    <w:link w:val="Heading1"/>
    <w:rsid w:val="00AC790D"/>
    <w:rPr>
      <w:rFonts w:eastAsiaTheme="majorEastAsia" w:cstheme="majorBidi"/>
      <w:b/>
      <w:bCs/>
      <w:color w:val="323157"/>
      <w:sz w:val="40"/>
      <w:szCs w:val="32"/>
      <w:lang w:eastAsia="en-US"/>
    </w:rPr>
  </w:style>
  <w:style w:type="character" w:customStyle="1" w:styleId="Heading2Char">
    <w:name w:val="Heading 2 Char"/>
    <w:basedOn w:val="DefaultParagraphFont"/>
    <w:link w:val="Heading2"/>
    <w:rsid w:val="00AC790D"/>
    <w:rPr>
      <w:rFonts w:eastAsiaTheme="majorEastAsia" w:cstheme="majorBidi"/>
      <w:b/>
      <w:iCs/>
      <w:color w:val="323157"/>
      <w:sz w:val="28"/>
      <w:szCs w:val="28"/>
      <w:lang w:eastAsia="en-US"/>
    </w:rPr>
  </w:style>
  <w:style w:type="character" w:customStyle="1" w:styleId="Heading3Char">
    <w:name w:val="Heading 3 Char"/>
    <w:basedOn w:val="DefaultParagraphFont"/>
    <w:link w:val="Heading3"/>
    <w:rsid w:val="009B0299"/>
    <w:rPr>
      <w:rFonts w:eastAsiaTheme="majorEastAsia" w:cstheme="majorBidi"/>
      <w:b/>
      <w:color w:val="323157"/>
      <w:sz w:val="24"/>
      <w:szCs w:val="26"/>
      <w:lang w:eastAsia="en-US"/>
    </w:rPr>
  </w:style>
  <w:style w:type="paragraph" w:styleId="BodyTextIndent">
    <w:name w:val="Body Text Indent"/>
    <w:basedOn w:val="BodyText"/>
    <w:link w:val="BodyTextIndentChar"/>
    <w:uiPriority w:val="1"/>
    <w:qFormat/>
    <w:rsid w:val="003A43E9"/>
    <w:pPr>
      <w:ind w:left="357"/>
    </w:pPr>
  </w:style>
  <w:style w:type="character" w:customStyle="1" w:styleId="BodyTextIndentChar">
    <w:name w:val="Body Text Indent Char"/>
    <w:basedOn w:val="DefaultParagraphFont"/>
    <w:link w:val="BodyTextIndent"/>
    <w:uiPriority w:val="1"/>
    <w:rsid w:val="00C60B19"/>
    <w:rPr>
      <w:sz w:val="22"/>
      <w:szCs w:val="24"/>
      <w:lang w:eastAsia="en-US"/>
    </w:rPr>
  </w:style>
  <w:style w:type="paragraph" w:styleId="ListNumber2">
    <w:name w:val="List Number 2"/>
    <w:basedOn w:val="BodyText"/>
    <w:uiPriority w:val="1"/>
    <w:rsid w:val="001A545C"/>
    <w:pPr>
      <w:numPr>
        <w:ilvl w:val="1"/>
        <w:numId w:val="5"/>
      </w:numPr>
    </w:pPr>
  </w:style>
  <w:style w:type="paragraph" w:styleId="ListBullet">
    <w:name w:val="List Bullet"/>
    <w:basedOn w:val="BodyText"/>
    <w:qFormat/>
    <w:rsid w:val="00546009"/>
    <w:pPr>
      <w:numPr>
        <w:numId w:val="1"/>
      </w:numPr>
      <w:tabs>
        <w:tab w:val="clear" w:pos="360"/>
      </w:tabs>
      <w:ind w:left="454" w:hanging="454"/>
    </w:pPr>
  </w:style>
  <w:style w:type="paragraph" w:styleId="ListBullet2">
    <w:name w:val="List Bullet 2"/>
    <w:basedOn w:val="ListBullet"/>
    <w:qFormat/>
    <w:rsid w:val="00546009"/>
    <w:pPr>
      <w:numPr>
        <w:numId w:val="2"/>
      </w:numPr>
      <w:ind w:left="908" w:hanging="454"/>
    </w:pPr>
  </w:style>
  <w:style w:type="paragraph" w:styleId="Subtitle">
    <w:name w:val="Subtitle"/>
    <w:next w:val="Date"/>
    <w:link w:val="SubtitleChar"/>
    <w:uiPriority w:val="99"/>
    <w:rsid w:val="00402226"/>
    <w:pPr>
      <w:spacing w:before="200"/>
      <w:outlineLvl w:val="1"/>
    </w:pPr>
    <w:rPr>
      <w:rFonts w:eastAsiaTheme="majorEastAsia" w:cstheme="majorBidi"/>
      <w:b/>
      <w:bCs/>
      <w:color w:val="323157"/>
      <w:sz w:val="36"/>
      <w:szCs w:val="32"/>
      <w:lang w:eastAsia="en-US"/>
    </w:rPr>
  </w:style>
  <w:style w:type="character" w:customStyle="1" w:styleId="SubtitleChar">
    <w:name w:val="Subtitle Char"/>
    <w:basedOn w:val="DefaultParagraphFont"/>
    <w:link w:val="Subtitle"/>
    <w:uiPriority w:val="99"/>
    <w:rsid w:val="00402226"/>
    <w:rPr>
      <w:rFonts w:eastAsiaTheme="majorEastAsia" w:cstheme="majorBidi"/>
      <w:b/>
      <w:bCs/>
      <w:color w:val="323157"/>
      <w:sz w:val="36"/>
      <w:szCs w:val="32"/>
      <w:lang w:eastAsia="en-US"/>
    </w:rPr>
  </w:style>
  <w:style w:type="paragraph" w:customStyle="1" w:styleId="Purpose">
    <w:name w:val="Purpose"/>
    <w:basedOn w:val="BodyText"/>
    <w:uiPriority w:val="99"/>
    <w:semiHidden/>
    <w:rsid w:val="00ED62D7"/>
    <w:rPr>
      <w:b/>
      <w:color w:val="323157"/>
    </w:rPr>
  </w:style>
  <w:style w:type="paragraph" w:styleId="Date">
    <w:name w:val="Date"/>
    <w:basedOn w:val="BodyText"/>
    <w:next w:val="BodyText"/>
    <w:link w:val="DateChar"/>
    <w:rsid w:val="00402226"/>
    <w:pPr>
      <w:spacing w:before="200"/>
    </w:pPr>
    <w:rPr>
      <w:color w:val="323157"/>
      <w:sz w:val="24"/>
    </w:rPr>
  </w:style>
  <w:style w:type="character" w:customStyle="1" w:styleId="DateChar">
    <w:name w:val="Date Char"/>
    <w:basedOn w:val="DefaultParagraphFont"/>
    <w:link w:val="Date"/>
    <w:rsid w:val="00402226"/>
    <w:rPr>
      <w:color w:val="323157"/>
      <w:sz w:val="24"/>
      <w:szCs w:val="24"/>
      <w:lang w:eastAsia="en-US"/>
    </w:rPr>
  </w:style>
  <w:style w:type="paragraph" w:customStyle="1" w:styleId="Action">
    <w:name w:val="Action"/>
    <w:basedOn w:val="BodyText"/>
    <w:uiPriority w:val="99"/>
    <w:semiHidden/>
    <w:rsid w:val="00ED62D7"/>
    <w:rPr>
      <w:b/>
      <w:color w:val="323157"/>
    </w:rPr>
  </w:style>
  <w:style w:type="paragraph" w:customStyle="1" w:styleId="ReferenceNumbercover">
    <w:name w:val="Reference Number (cover)"/>
    <w:basedOn w:val="BodyText"/>
    <w:next w:val="BodyText"/>
    <w:uiPriority w:val="99"/>
    <w:semiHidden/>
    <w:rsid w:val="00402226"/>
    <w:pPr>
      <w:spacing w:before="60"/>
    </w:pPr>
    <w:rPr>
      <w:color w:val="323157"/>
      <w:sz w:val="20"/>
    </w:rPr>
  </w:style>
  <w:style w:type="character" w:styleId="Hyperlink">
    <w:name w:val="Hyperlink"/>
    <w:uiPriority w:val="99"/>
    <w:qFormat/>
    <w:rsid w:val="00833BF6"/>
    <w:rPr>
      <w:b w:val="0"/>
      <w:color w:val="auto"/>
      <w:u w:val="none"/>
    </w:rPr>
  </w:style>
  <w:style w:type="character" w:styleId="FollowedHyperlink">
    <w:name w:val="FollowedHyperlink"/>
    <w:basedOn w:val="Hyperlink"/>
    <w:semiHidden/>
    <w:rsid w:val="00833BF6"/>
    <w:rPr>
      <w:b w:val="0"/>
      <w:color w:val="auto"/>
      <w:u w:val="none"/>
    </w:rPr>
  </w:style>
  <w:style w:type="paragraph" w:customStyle="1" w:styleId="BoxedBlueHeading">
    <w:name w:val="Boxed Blue – Heading"/>
    <w:next w:val="BoxedBlueText"/>
    <w:uiPriority w:val="2"/>
    <w:qFormat/>
    <w:rsid w:val="005C4A0D"/>
    <w:pPr>
      <w:pBdr>
        <w:top w:val="single" w:sz="4" w:space="12" w:color="323157"/>
        <w:left w:val="single" w:sz="4" w:space="12" w:color="323157"/>
        <w:bottom w:val="single" w:sz="4" w:space="12" w:color="323157"/>
        <w:right w:val="single" w:sz="4" w:space="12" w:color="323157"/>
      </w:pBdr>
      <w:shd w:val="clear" w:color="auto" w:fill="323157"/>
      <w:spacing w:after="240" w:line="300" w:lineRule="atLeast"/>
      <w:ind w:left="267" w:right="267"/>
    </w:pPr>
    <w:rPr>
      <w:b/>
      <w:color w:val="FFFFFF" w:themeColor="background1"/>
      <w:sz w:val="22"/>
      <w:szCs w:val="24"/>
      <w:lang w:eastAsia="en-US"/>
    </w:rPr>
  </w:style>
  <w:style w:type="paragraph" w:customStyle="1" w:styleId="BoxedBlueText">
    <w:name w:val="Boxed Blue – Text"/>
    <w:basedOn w:val="BoxedBlueHeading"/>
    <w:uiPriority w:val="2"/>
    <w:qFormat/>
    <w:rsid w:val="001262A3"/>
    <w:rPr>
      <w:b w:val="0"/>
    </w:rPr>
  </w:style>
  <w:style w:type="paragraph" w:customStyle="1" w:styleId="BoxedBlueBullet">
    <w:name w:val="Boxed Blue – Bullet"/>
    <w:basedOn w:val="BoxedBlueHeading"/>
    <w:uiPriority w:val="3"/>
    <w:qFormat/>
    <w:rsid w:val="001262A3"/>
    <w:pPr>
      <w:numPr>
        <w:numId w:val="3"/>
      </w:numPr>
      <w:ind w:left="624" w:hanging="357"/>
    </w:pPr>
    <w:rPr>
      <w:b w:val="0"/>
    </w:rPr>
  </w:style>
  <w:style w:type="paragraph" w:customStyle="1" w:styleId="BoxedYellowHeading">
    <w:name w:val="Boxed Yellow – Heading"/>
    <w:next w:val="BoxedYellowText"/>
    <w:uiPriority w:val="3"/>
    <w:qFormat/>
    <w:rsid w:val="005C4A0D"/>
    <w:pPr>
      <w:pBdr>
        <w:top w:val="single" w:sz="4" w:space="12" w:color="FFCF01"/>
        <w:left w:val="single" w:sz="4" w:space="12" w:color="FFCF01"/>
        <w:bottom w:val="single" w:sz="4" w:space="12" w:color="FFCF01"/>
        <w:right w:val="single" w:sz="4" w:space="12" w:color="FFCF01"/>
      </w:pBdr>
      <w:shd w:val="clear" w:color="auto" w:fill="FFCF01"/>
      <w:spacing w:after="240" w:line="300" w:lineRule="atLeast"/>
      <w:ind w:left="267" w:right="267"/>
    </w:pPr>
    <w:rPr>
      <w:b/>
      <w:sz w:val="22"/>
      <w:szCs w:val="24"/>
      <w:lang w:eastAsia="en-US"/>
    </w:rPr>
  </w:style>
  <w:style w:type="paragraph" w:customStyle="1" w:styleId="BoxedYellowText">
    <w:name w:val="Boxed Yellow – Text"/>
    <w:basedOn w:val="BoxedYellowHeading"/>
    <w:uiPriority w:val="3"/>
    <w:qFormat/>
    <w:rsid w:val="00E74514"/>
    <w:rPr>
      <w:b w:val="0"/>
    </w:rPr>
  </w:style>
  <w:style w:type="paragraph" w:customStyle="1" w:styleId="BoxedYellowBullet">
    <w:name w:val="Boxed Yellow – Bullet"/>
    <w:basedOn w:val="BoxedYellowHeading"/>
    <w:uiPriority w:val="4"/>
    <w:qFormat/>
    <w:rsid w:val="001262A3"/>
    <w:pPr>
      <w:numPr>
        <w:numId w:val="4"/>
      </w:numPr>
      <w:ind w:left="624" w:hanging="357"/>
    </w:pPr>
    <w:rPr>
      <w:b w:val="0"/>
    </w:rPr>
  </w:style>
  <w:style w:type="paragraph" w:styleId="TOCHeading">
    <w:name w:val="TOC Heading"/>
    <w:basedOn w:val="Heading1"/>
    <w:next w:val="BodyText"/>
    <w:uiPriority w:val="39"/>
    <w:qFormat/>
    <w:rsid w:val="00324CFE"/>
    <w:pPr>
      <w:outlineLvl w:val="9"/>
    </w:pPr>
    <w:rPr>
      <w:bCs w:val="0"/>
    </w:rPr>
  </w:style>
  <w:style w:type="paragraph" w:styleId="FootnoteText">
    <w:name w:val="footnote text"/>
    <w:basedOn w:val="BodyText"/>
    <w:link w:val="FootnoteTextChar"/>
    <w:qFormat/>
    <w:rsid w:val="00324CFE"/>
    <w:pPr>
      <w:ind w:left="227" w:hanging="227"/>
    </w:pPr>
    <w:rPr>
      <w:sz w:val="20"/>
      <w:szCs w:val="20"/>
    </w:rPr>
  </w:style>
  <w:style w:type="character" w:customStyle="1" w:styleId="FootnoteTextChar">
    <w:name w:val="Footnote Text Char"/>
    <w:basedOn w:val="DefaultParagraphFont"/>
    <w:link w:val="FootnoteText"/>
    <w:rsid w:val="00324CFE"/>
    <w:rPr>
      <w:lang w:eastAsia="en-US"/>
    </w:rPr>
  </w:style>
  <w:style w:type="character" w:styleId="FootnoteReference">
    <w:name w:val="footnote reference"/>
    <w:basedOn w:val="DefaultParagraphFont"/>
    <w:rsid w:val="00324CFE"/>
    <w:rPr>
      <w:vertAlign w:val="superscript"/>
    </w:rPr>
  </w:style>
  <w:style w:type="paragraph" w:styleId="Header">
    <w:name w:val="header"/>
    <w:basedOn w:val="BodyText"/>
    <w:link w:val="HeaderChar"/>
    <w:uiPriority w:val="99"/>
    <w:rsid w:val="00820397"/>
    <w:rPr>
      <w:sz w:val="20"/>
    </w:rPr>
  </w:style>
  <w:style w:type="character" w:customStyle="1" w:styleId="HeaderChar">
    <w:name w:val="Header Char"/>
    <w:basedOn w:val="DefaultParagraphFont"/>
    <w:link w:val="Header"/>
    <w:uiPriority w:val="99"/>
    <w:rsid w:val="00E519A8"/>
    <w:rPr>
      <w:szCs w:val="24"/>
      <w:lang w:eastAsia="en-US"/>
    </w:rPr>
  </w:style>
  <w:style w:type="paragraph" w:styleId="Footer">
    <w:name w:val="footer"/>
    <w:basedOn w:val="BodyText"/>
    <w:link w:val="FooterChar"/>
    <w:uiPriority w:val="99"/>
    <w:rsid w:val="0004591E"/>
    <w:pPr>
      <w:tabs>
        <w:tab w:val="right" w:pos="10093"/>
      </w:tabs>
      <w:spacing w:after="0" w:line="240" w:lineRule="auto"/>
    </w:pPr>
    <w:rPr>
      <w:sz w:val="20"/>
    </w:rPr>
  </w:style>
  <w:style w:type="character" w:customStyle="1" w:styleId="FooterChar">
    <w:name w:val="Footer Char"/>
    <w:basedOn w:val="DefaultParagraphFont"/>
    <w:link w:val="Footer"/>
    <w:uiPriority w:val="99"/>
    <w:rsid w:val="00E519A8"/>
    <w:rPr>
      <w:szCs w:val="24"/>
      <w:lang w:eastAsia="en-US"/>
    </w:rPr>
  </w:style>
  <w:style w:type="table" w:styleId="TableGrid">
    <w:name w:val="Table Grid"/>
    <w:basedOn w:val="TableNormal"/>
    <w:rsid w:val="009B0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blStylePr w:type="firstRow">
      <w:tblPr/>
      <w:trPr>
        <w:cantSplit w:val="0"/>
        <w:tblHeader/>
      </w:trPr>
      <w:tcPr>
        <w:tcMar>
          <w:top w:w="113" w:type="dxa"/>
          <w:left w:w="57" w:type="dxa"/>
          <w:bottom w:w="113" w:type="dxa"/>
          <w:right w:w="57" w:type="dxa"/>
        </w:tcMar>
      </w:tcPr>
    </w:tblStylePr>
  </w:style>
  <w:style w:type="paragraph" w:customStyle="1" w:styleId="TD">
    <w:name w:val="TD"/>
    <w:basedOn w:val="BodyText"/>
    <w:uiPriority w:val="99"/>
    <w:rsid w:val="005C4A0D"/>
    <w:pPr>
      <w:spacing w:after="0" w:line="240" w:lineRule="auto"/>
    </w:pPr>
  </w:style>
  <w:style w:type="paragraph" w:customStyle="1" w:styleId="TH">
    <w:name w:val="TH"/>
    <w:basedOn w:val="BodyText"/>
    <w:uiPriority w:val="99"/>
    <w:rsid w:val="00451152"/>
    <w:pPr>
      <w:spacing w:after="0" w:line="240" w:lineRule="auto"/>
    </w:pPr>
    <w:rPr>
      <w:color w:val="FFFFFF" w:themeColor="background1"/>
    </w:rPr>
  </w:style>
  <w:style w:type="paragraph" w:styleId="ListNumber">
    <w:name w:val="List Number"/>
    <w:basedOn w:val="BodyText"/>
    <w:uiPriority w:val="1"/>
    <w:qFormat/>
    <w:rsid w:val="001A545C"/>
    <w:pPr>
      <w:numPr>
        <w:numId w:val="5"/>
      </w:numPr>
    </w:pPr>
  </w:style>
  <w:style w:type="paragraph" w:styleId="ListNumber3">
    <w:name w:val="List Number 3"/>
    <w:basedOn w:val="BodyText"/>
    <w:uiPriority w:val="1"/>
    <w:rsid w:val="001A545C"/>
    <w:pPr>
      <w:numPr>
        <w:ilvl w:val="2"/>
        <w:numId w:val="5"/>
      </w:numPr>
    </w:pPr>
  </w:style>
  <w:style w:type="numbering" w:customStyle="1" w:styleId="OrderedList">
    <w:name w:val="Ordered List"/>
    <w:uiPriority w:val="99"/>
    <w:rsid w:val="001A545C"/>
    <w:pPr>
      <w:numPr>
        <w:numId w:val="5"/>
      </w:numPr>
    </w:pPr>
  </w:style>
  <w:style w:type="paragraph" w:styleId="TOC1">
    <w:name w:val="toc 1"/>
    <w:basedOn w:val="BodyText"/>
    <w:uiPriority w:val="39"/>
    <w:qFormat/>
    <w:rsid w:val="00833BF6"/>
    <w:pPr>
      <w:spacing w:before="240" w:after="120"/>
    </w:pPr>
    <w:rPr>
      <w:b/>
    </w:rPr>
  </w:style>
  <w:style w:type="paragraph" w:styleId="TOC2">
    <w:name w:val="toc 2"/>
    <w:basedOn w:val="TOC1"/>
    <w:uiPriority w:val="39"/>
    <w:qFormat/>
    <w:rsid w:val="00833BF6"/>
    <w:pPr>
      <w:spacing w:before="0"/>
    </w:pPr>
    <w:rPr>
      <w:b w:val="0"/>
    </w:rPr>
  </w:style>
  <w:style w:type="paragraph" w:styleId="BalloonText">
    <w:name w:val="Balloon Text"/>
    <w:basedOn w:val="Normal"/>
    <w:link w:val="BalloonTextChar"/>
    <w:uiPriority w:val="99"/>
    <w:semiHidden/>
    <w:rsid w:val="00100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D1E"/>
    <w:rPr>
      <w:rFonts w:ascii="Segoe UI" w:hAnsi="Segoe UI" w:cs="Segoe UI"/>
      <w:sz w:val="18"/>
      <w:szCs w:val="18"/>
      <w:lang w:eastAsia="en-US"/>
    </w:rPr>
  </w:style>
  <w:style w:type="character" w:styleId="CommentReference">
    <w:name w:val="annotation reference"/>
    <w:basedOn w:val="DefaultParagraphFont"/>
    <w:rsid w:val="00100D1E"/>
    <w:rPr>
      <w:sz w:val="16"/>
      <w:szCs w:val="16"/>
    </w:rPr>
  </w:style>
  <w:style w:type="paragraph" w:styleId="CommentText">
    <w:name w:val="annotation text"/>
    <w:basedOn w:val="Normal"/>
    <w:link w:val="CommentTextChar"/>
    <w:uiPriority w:val="99"/>
    <w:rsid w:val="00100D1E"/>
    <w:rPr>
      <w:sz w:val="20"/>
      <w:szCs w:val="20"/>
    </w:rPr>
  </w:style>
  <w:style w:type="character" w:customStyle="1" w:styleId="CommentTextChar">
    <w:name w:val="Comment Text Char"/>
    <w:basedOn w:val="DefaultParagraphFont"/>
    <w:link w:val="CommentText"/>
    <w:uiPriority w:val="99"/>
    <w:rsid w:val="00100D1E"/>
    <w:rPr>
      <w:lang w:eastAsia="en-US"/>
    </w:rPr>
  </w:style>
  <w:style w:type="paragraph" w:styleId="CommentSubject">
    <w:name w:val="annotation subject"/>
    <w:basedOn w:val="CommentText"/>
    <w:next w:val="CommentText"/>
    <w:link w:val="CommentSubjectChar"/>
    <w:uiPriority w:val="99"/>
    <w:semiHidden/>
    <w:rsid w:val="00100D1E"/>
    <w:rPr>
      <w:b/>
      <w:bCs/>
    </w:rPr>
  </w:style>
  <w:style w:type="character" w:customStyle="1" w:styleId="CommentSubjectChar">
    <w:name w:val="Comment Subject Char"/>
    <w:basedOn w:val="CommentTextChar"/>
    <w:link w:val="CommentSubject"/>
    <w:uiPriority w:val="99"/>
    <w:semiHidden/>
    <w:rsid w:val="00100D1E"/>
    <w:rPr>
      <w:b/>
      <w:bCs/>
      <w:lang w:eastAsia="en-US"/>
    </w:rPr>
  </w:style>
  <w:style w:type="paragraph" w:customStyle="1" w:styleId="SubtitleText">
    <w:name w:val="SubtitleText"/>
    <w:basedOn w:val="Normal"/>
    <w:link w:val="SubtitleTextChar"/>
    <w:unhideWhenUsed/>
    <w:qFormat/>
    <w:rsid w:val="000C5B6E"/>
    <w:pPr>
      <w:spacing w:after="1520"/>
    </w:pPr>
    <w:rPr>
      <w:rFonts w:asciiTheme="minorHAnsi" w:eastAsia="Times New Roman" w:hAnsiTheme="minorHAnsi" w:cs="Arial"/>
      <w:b/>
      <w:bCs/>
      <w:color w:val="104F75"/>
      <w:sz w:val="48"/>
      <w:szCs w:val="48"/>
      <w:lang w:eastAsia="en-GB"/>
    </w:rPr>
  </w:style>
  <w:style w:type="character" w:customStyle="1" w:styleId="SubtitleTextChar">
    <w:name w:val="SubtitleText Char"/>
    <w:link w:val="SubtitleText"/>
    <w:rsid w:val="000C5B6E"/>
    <w:rPr>
      <w:rFonts w:asciiTheme="minorHAnsi" w:eastAsia="Times New Roman" w:hAnsiTheme="minorHAnsi" w:cs="Arial"/>
      <w:b/>
      <w:bCs/>
      <w:color w:val="104F75"/>
      <w:sz w:val="48"/>
      <w:szCs w:val="48"/>
    </w:rPr>
  </w:style>
  <w:style w:type="character" w:customStyle="1" w:styleId="Heading4Char">
    <w:name w:val="Heading 4 Char"/>
    <w:basedOn w:val="DefaultParagraphFont"/>
    <w:link w:val="Heading4"/>
    <w:rsid w:val="00AC1492"/>
    <w:rPr>
      <w:rFonts w:cs="Arial"/>
      <w:b/>
      <w:iCs/>
      <w:color w:val="252441" w:themeColor="accent1" w:themeShade="BF"/>
      <w:sz w:val="22"/>
      <w:szCs w:val="24"/>
      <w:lang w:eastAsia="en-US"/>
    </w:rPr>
  </w:style>
  <w:style w:type="character" w:customStyle="1" w:styleId="Heading5Char">
    <w:name w:val="Heading 5 Char"/>
    <w:basedOn w:val="DefaultParagraphFont"/>
    <w:link w:val="Heading5"/>
    <w:rsid w:val="003B0519"/>
    <w:rPr>
      <w:rFonts w:asciiTheme="majorHAnsi" w:eastAsiaTheme="majorEastAsia" w:hAnsiTheme="majorHAnsi" w:cstheme="majorBidi"/>
      <w:color w:val="252441" w:themeColor="accent1" w:themeShade="BF"/>
      <w:sz w:val="22"/>
      <w:szCs w:val="24"/>
      <w:lang w:eastAsia="en-US"/>
    </w:rPr>
  </w:style>
  <w:style w:type="character" w:customStyle="1" w:styleId="Heading6Char">
    <w:name w:val="Heading 6 Char"/>
    <w:basedOn w:val="DefaultParagraphFont"/>
    <w:link w:val="Heading6"/>
    <w:rsid w:val="003B0519"/>
    <w:rPr>
      <w:rFonts w:ascii="Calibri" w:eastAsia="Times New Roman" w:hAnsi="Calibri"/>
      <w:b/>
      <w:bCs/>
      <w:sz w:val="22"/>
      <w:szCs w:val="22"/>
    </w:rPr>
  </w:style>
  <w:style w:type="character" w:customStyle="1" w:styleId="Heading7Char">
    <w:name w:val="Heading 7 Char"/>
    <w:basedOn w:val="DefaultParagraphFont"/>
    <w:link w:val="Heading7"/>
    <w:semiHidden/>
    <w:rsid w:val="003B0519"/>
    <w:rPr>
      <w:rFonts w:ascii="Calibri" w:eastAsia="Times New Roman" w:hAnsi="Calibri"/>
      <w:sz w:val="22"/>
      <w:szCs w:val="24"/>
    </w:rPr>
  </w:style>
  <w:style w:type="character" w:customStyle="1" w:styleId="Heading8Char">
    <w:name w:val="Heading 8 Char"/>
    <w:basedOn w:val="DefaultParagraphFont"/>
    <w:link w:val="Heading8"/>
    <w:semiHidden/>
    <w:rsid w:val="003B0519"/>
    <w:rPr>
      <w:rFonts w:ascii="Calibri" w:eastAsia="Times New Roman" w:hAnsi="Calibri"/>
      <w:i/>
      <w:iCs/>
      <w:sz w:val="22"/>
      <w:szCs w:val="24"/>
    </w:rPr>
  </w:style>
  <w:style w:type="character" w:customStyle="1" w:styleId="Heading9Char">
    <w:name w:val="Heading 9 Char"/>
    <w:basedOn w:val="DefaultParagraphFont"/>
    <w:link w:val="Heading9"/>
    <w:semiHidden/>
    <w:rsid w:val="003B0519"/>
    <w:rPr>
      <w:rFonts w:ascii="Cambria" w:eastAsia="Times New Roman" w:hAnsi="Cambria"/>
      <w:sz w:val="22"/>
      <w:szCs w:val="22"/>
    </w:rPr>
  </w:style>
  <w:style w:type="paragraph" w:customStyle="1" w:styleId="TitleText">
    <w:name w:val="TitleText"/>
    <w:basedOn w:val="Normal"/>
    <w:link w:val="TitleTextChar"/>
    <w:unhideWhenUsed/>
    <w:qFormat/>
    <w:rsid w:val="003B0519"/>
    <w:pPr>
      <w:spacing w:before="3600" w:after="240"/>
    </w:pPr>
    <w:rPr>
      <w:rFonts w:asciiTheme="minorHAnsi" w:eastAsia="Times New Roman" w:hAnsiTheme="minorHAnsi" w:cs="Arial"/>
      <w:b/>
      <w:color w:val="104F75"/>
      <w:sz w:val="92"/>
      <w:szCs w:val="92"/>
      <w:lang w:eastAsia="en-GB"/>
    </w:rPr>
  </w:style>
  <w:style w:type="character" w:customStyle="1" w:styleId="TitleTextChar">
    <w:name w:val="TitleText Char"/>
    <w:link w:val="TitleText"/>
    <w:rsid w:val="003B0519"/>
    <w:rPr>
      <w:rFonts w:asciiTheme="minorHAnsi" w:eastAsia="Times New Roman" w:hAnsiTheme="minorHAnsi" w:cs="Arial"/>
      <w:b/>
      <w:color w:val="104F75"/>
      <w:sz w:val="92"/>
      <w:szCs w:val="92"/>
    </w:rPr>
  </w:style>
  <w:style w:type="paragraph" w:styleId="TOC3">
    <w:name w:val="toc 3"/>
    <w:basedOn w:val="Normal"/>
    <w:next w:val="Normal"/>
    <w:autoRedefine/>
    <w:uiPriority w:val="39"/>
    <w:unhideWhenUsed/>
    <w:qFormat/>
    <w:rsid w:val="003B0519"/>
    <w:pPr>
      <w:tabs>
        <w:tab w:val="right" w:pos="9498"/>
      </w:tabs>
      <w:spacing w:after="120" w:line="288" w:lineRule="auto"/>
      <w:ind w:left="482"/>
    </w:pPr>
    <w:rPr>
      <w:rFonts w:asciiTheme="minorHAnsi" w:eastAsia="Times New Roman" w:hAnsiTheme="minorHAnsi"/>
      <w:noProof/>
      <w:lang w:eastAsia="en-GB"/>
    </w:rPr>
  </w:style>
  <w:style w:type="paragraph" w:customStyle="1" w:styleId="CopyrightBox">
    <w:name w:val="CopyrightBox"/>
    <w:basedOn w:val="Normal"/>
    <w:link w:val="CopyrightBoxChar"/>
    <w:unhideWhenUsed/>
    <w:qFormat/>
    <w:rsid w:val="003B0519"/>
    <w:pPr>
      <w:spacing w:after="240" w:line="288" w:lineRule="auto"/>
    </w:pPr>
    <w:rPr>
      <w:rFonts w:asciiTheme="minorHAnsi" w:eastAsia="Times New Roman" w:hAnsiTheme="minorHAnsi"/>
      <w:lang w:eastAsia="en-GB"/>
    </w:rPr>
  </w:style>
  <w:style w:type="character" w:customStyle="1" w:styleId="CopyrightBoxChar">
    <w:name w:val="CopyrightBox Char"/>
    <w:link w:val="CopyrightBox"/>
    <w:rsid w:val="003B0519"/>
    <w:rPr>
      <w:rFonts w:asciiTheme="minorHAnsi" w:eastAsia="Times New Roman" w:hAnsiTheme="minorHAnsi"/>
      <w:sz w:val="22"/>
      <w:szCs w:val="24"/>
    </w:rPr>
  </w:style>
  <w:style w:type="paragraph" w:customStyle="1" w:styleId="CopyrightSpacing">
    <w:name w:val="CopyrightSpacing"/>
    <w:basedOn w:val="Normal"/>
    <w:link w:val="CopyrightSpacingChar"/>
    <w:unhideWhenUsed/>
    <w:rsid w:val="003B0519"/>
    <w:pPr>
      <w:spacing w:before="6000" w:after="120" w:line="288" w:lineRule="auto"/>
    </w:pPr>
    <w:rPr>
      <w:rFonts w:asciiTheme="minorHAnsi" w:eastAsia="Times New Roman" w:hAnsiTheme="minorHAnsi"/>
      <w:lang w:eastAsia="en-GB"/>
    </w:rPr>
  </w:style>
  <w:style w:type="character" w:customStyle="1" w:styleId="CopyrightSpacingChar">
    <w:name w:val="CopyrightSpacing Char"/>
    <w:link w:val="CopyrightSpacing"/>
    <w:rsid w:val="003B0519"/>
    <w:rPr>
      <w:rFonts w:asciiTheme="minorHAnsi" w:eastAsia="Times New Roman" w:hAnsiTheme="minorHAnsi"/>
      <w:sz w:val="22"/>
      <w:szCs w:val="24"/>
    </w:rPr>
  </w:style>
  <w:style w:type="paragraph" w:styleId="TableofFigures">
    <w:name w:val="table of figures"/>
    <w:basedOn w:val="Normal"/>
    <w:next w:val="Normal"/>
    <w:uiPriority w:val="99"/>
    <w:unhideWhenUsed/>
    <w:rsid w:val="003B0519"/>
    <w:pPr>
      <w:spacing w:after="240" w:line="288" w:lineRule="auto"/>
    </w:pPr>
    <w:rPr>
      <w:rFonts w:asciiTheme="minorHAnsi" w:eastAsia="Times New Roman" w:hAnsiTheme="minorHAnsi"/>
      <w:lang w:eastAsia="en-GB"/>
    </w:rPr>
  </w:style>
  <w:style w:type="paragraph" w:customStyle="1" w:styleId="TOCHeader">
    <w:name w:val="TOC Header"/>
    <w:link w:val="TOCHeaderChar"/>
    <w:unhideWhenUsed/>
    <w:rsid w:val="003B0519"/>
    <w:pPr>
      <w:pageBreakBefore/>
      <w:spacing w:after="240"/>
    </w:pPr>
    <w:rPr>
      <w:rFonts w:eastAsia="Times New Roman"/>
      <w:b/>
      <w:color w:val="104F75"/>
      <w:sz w:val="36"/>
      <w:szCs w:val="24"/>
    </w:rPr>
  </w:style>
  <w:style w:type="character" w:customStyle="1" w:styleId="TOCHeaderChar">
    <w:name w:val="TOC Header Char"/>
    <w:link w:val="TOCHeader"/>
    <w:rsid w:val="003B0519"/>
    <w:rPr>
      <w:rFonts w:eastAsia="Times New Roman"/>
      <w:b/>
      <w:color w:val="104F75"/>
      <w:sz w:val="36"/>
      <w:szCs w:val="24"/>
    </w:rPr>
  </w:style>
  <w:style w:type="paragraph" w:styleId="Caption">
    <w:name w:val="caption"/>
    <w:basedOn w:val="Normal"/>
    <w:next w:val="Normal"/>
    <w:qFormat/>
    <w:rsid w:val="003B0519"/>
    <w:pPr>
      <w:spacing w:before="120" w:after="120" w:line="288" w:lineRule="auto"/>
      <w:jc w:val="center"/>
    </w:pPr>
    <w:rPr>
      <w:rFonts w:asciiTheme="minorHAnsi" w:eastAsia="Times New Roman" w:hAnsiTheme="minorHAnsi"/>
      <w:b/>
      <w:bCs/>
      <w:color w:val="000000" w:themeColor="text1"/>
      <w:sz w:val="20"/>
      <w:szCs w:val="20"/>
      <w:lang w:eastAsia="en-GB"/>
    </w:rPr>
  </w:style>
  <w:style w:type="paragraph" w:styleId="ListParagraph">
    <w:name w:val="List Paragraph"/>
    <w:aliases w:val="Dot pt,F5 List Paragraph,Colorful List - Accent 11,No Spacing1,List Paragraph Char Char Char,Indicator Text,Numbered Para 1,Bullet 1,Bullet Points,MAIN CONTENT,List Paragraph12,List Paragraph2,Normal numbered,OBC Bullet,L,List Paragraph11"/>
    <w:basedOn w:val="Normal"/>
    <w:link w:val="ListParagraphChar"/>
    <w:uiPriority w:val="34"/>
    <w:qFormat/>
    <w:rsid w:val="003B0519"/>
    <w:pPr>
      <w:numPr>
        <w:numId w:val="7"/>
      </w:numPr>
      <w:spacing w:after="240" w:line="288" w:lineRule="auto"/>
      <w:contextualSpacing/>
    </w:pPr>
    <w:rPr>
      <w:rFonts w:asciiTheme="minorHAnsi" w:eastAsia="Times New Roman" w:hAnsiTheme="minorHAnsi"/>
      <w:lang w:eastAsia="en-GB"/>
    </w:rPr>
  </w:style>
  <w:style w:type="paragraph" w:customStyle="1" w:styleId="TableHeader">
    <w:name w:val="TableHeader"/>
    <w:qFormat/>
    <w:rsid w:val="003B0519"/>
    <w:pPr>
      <w:spacing w:before="60" w:after="240"/>
      <w:ind w:left="57" w:right="57"/>
    </w:pPr>
    <w:rPr>
      <w:rFonts w:eastAsia="Times New Roman"/>
      <w:b/>
      <w:sz w:val="24"/>
      <w:szCs w:val="24"/>
    </w:rPr>
  </w:style>
  <w:style w:type="paragraph" w:customStyle="1" w:styleId="TableRow">
    <w:name w:val="TableRow"/>
    <w:link w:val="TableRowChar"/>
    <w:qFormat/>
    <w:rsid w:val="003B0519"/>
    <w:pPr>
      <w:spacing w:before="60" w:after="60"/>
      <w:ind w:left="57" w:right="57"/>
    </w:pPr>
    <w:rPr>
      <w:rFonts w:eastAsia="Times New Roman"/>
      <w:sz w:val="24"/>
      <w:szCs w:val="24"/>
    </w:rPr>
  </w:style>
  <w:style w:type="character" w:customStyle="1" w:styleId="TableRowChar">
    <w:name w:val="TableRow Char"/>
    <w:link w:val="TableRow"/>
    <w:rsid w:val="003B0519"/>
    <w:rPr>
      <w:rFonts w:eastAsia="Times New Roman"/>
      <w:sz w:val="24"/>
      <w:szCs w:val="24"/>
    </w:rPr>
  </w:style>
  <w:style w:type="paragraph" w:styleId="EndnoteText">
    <w:name w:val="endnote text"/>
    <w:basedOn w:val="Normal"/>
    <w:link w:val="EndnoteTextChar"/>
    <w:semiHidden/>
    <w:unhideWhenUsed/>
    <w:rsid w:val="003B0519"/>
    <w:rPr>
      <w:rFonts w:asciiTheme="minorHAnsi" w:eastAsia="Times New Roman" w:hAnsiTheme="minorHAnsi"/>
      <w:sz w:val="20"/>
      <w:szCs w:val="20"/>
      <w:lang w:eastAsia="en-GB"/>
    </w:rPr>
  </w:style>
  <w:style w:type="character" w:customStyle="1" w:styleId="EndnoteTextChar">
    <w:name w:val="Endnote Text Char"/>
    <w:basedOn w:val="DefaultParagraphFont"/>
    <w:link w:val="EndnoteText"/>
    <w:semiHidden/>
    <w:rsid w:val="003B0519"/>
    <w:rPr>
      <w:rFonts w:asciiTheme="minorHAnsi" w:eastAsia="Times New Roman" w:hAnsiTheme="minorHAnsi"/>
    </w:rPr>
  </w:style>
  <w:style w:type="character" w:styleId="EndnoteReference">
    <w:name w:val="endnote reference"/>
    <w:basedOn w:val="DefaultParagraphFont"/>
    <w:semiHidden/>
    <w:unhideWhenUsed/>
    <w:rsid w:val="003B0519"/>
    <w:rPr>
      <w:vertAlign w:val="superscript"/>
    </w:rPr>
  </w:style>
  <w:style w:type="paragraph" w:customStyle="1" w:styleId="ColouredBoxHeadline">
    <w:name w:val="Coloured Box Headline"/>
    <w:basedOn w:val="Normal"/>
    <w:qFormat/>
    <w:rsid w:val="003B0519"/>
    <w:pPr>
      <w:spacing w:before="120" w:after="240" w:line="288" w:lineRule="auto"/>
      <w:ind w:left="113" w:right="113"/>
    </w:pPr>
    <w:rPr>
      <w:rFonts w:asciiTheme="minorHAnsi" w:eastAsia="Times New Roman" w:hAnsiTheme="minorHAnsi"/>
      <w:b/>
      <w:bCs/>
      <w:sz w:val="28"/>
      <w:szCs w:val="20"/>
      <w:lang w:eastAsia="en-GB"/>
    </w:rPr>
  </w:style>
  <w:style w:type="paragraph" w:styleId="Revision">
    <w:name w:val="Revision"/>
    <w:hidden/>
    <w:uiPriority w:val="99"/>
    <w:semiHidden/>
    <w:rsid w:val="003B0519"/>
    <w:rPr>
      <w:rFonts w:eastAsia="Times New Roman"/>
      <w:sz w:val="24"/>
      <w:szCs w:val="24"/>
    </w:rPr>
  </w:style>
  <w:style w:type="paragraph" w:customStyle="1" w:styleId="SocialMedia">
    <w:name w:val="SocialMedia"/>
    <w:basedOn w:val="Normal"/>
    <w:link w:val="SocialMediaChar"/>
    <w:rsid w:val="003B0519"/>
    <w:pPr>
      <w:tabs>
        <w:tab w:val="left" w:pos="4253"/>
        <w:tab w:val="left" w:pos="4820"/>
      </w:tabs>
      <w:ind w:firstLine="34"/>
    </w:pPr>
    <w:rPr>
      <w:rFonts w:asciiTheme="minorHAnsi" w:eastAsia="Times New Roman" w:hAnsiTheme="minorHAnsi"/>
      <w:noProof/>
      <w:lang w:eastAsia="en-GB"/>
    </w:rPr>
  </w:style>
  <w:style w:type="paragraph" w:customStyle="1" w:styleId="Reference">
    <w:name w:val="Reference"/>
    <w:basedOn w:val="Normal"/>
    <w:link w:val="ReferenceChar"/>
    <w:rsid w:val="003B0519"/>
    <w:pPr>
      <w:tabs>
        <w:tab w:val="left" w:pos="1701"/>
      </w:tabs>
      <w:spacing w:before="240" w:after="240" w:line="288" w:lineRule="auto"/>
    </w:pPr>
    <w:rPr>
      <w:rFonts w:asciiTheme="minorHAnsi" w:eastAsia="Times New Roman" w:hAnsiTheme="minorHAnsi"/>
      <w:lang w:eastAsia="en-GB"/>
    </w:rPr>
  </w:style>
  <w:style w:type="character" w:customStyle="1" w:styleId="SocialMediaChar">
    <w:name w:val="SocialMedia Char"/>
    <w:basedOn w:val="DefaultParagraphFont"/>
    <w:link w:val="SocialMedia"/>
    <w:rsid w:val="003B0519"/>
    <w:rPr>
      <w:rFonts w:asciiTheme="minorHAnsi" w:eastAsia="Times New Roman" w:hAnsiTheme="minorHAnsi"/>
      <w:noProof/>
      <w:sz w:val="22"/>
      <w:szCs w:val="24"/>
    </w:rPr>
  </w:style>
  <w:style w:type="paragraph" w:customStyle="1" w:styleId="Licence">
    <w:name w:val="Licence"/>
    <w:basedOn w:val="Normal"/>
    <w:link w:val="LicenceChar"/>
    <w:rsid w:val="003B0519"/>
    <w:pPr>
      <w:tabs>
        <w:tab w:val="left" w:pos="1418"/>
      </w:tabs>
      <w:spacing w:after="240" w:line="288" w:lineRule="auto"/>
      <w:ind w:left="284"/>
      <w:contextualSpacing/>
    </w:pPr>
    <w:rPr>
      <w:rFonts w:asciiTheme="minorHAnsi" w:eastAsia="Times New Roman" w:hAnsiTheme="minorHAnsi"/>
      <w:lang w:eastAsia="en-GB"/>
    </w:rPr>
  </w:style>
  <w:style w:type="character" w:customStyle="1" w:styleId="ReferenceChar">
    <w:name w:val="Reference Char"/>
    <w:basedOn w:val="DefaultParagraphFont"/>
    <w:link w:val="Reference"/>
    <w:rsid w:val="003B0519"/>
    <w:rPr>
      <w:rFonts w:asciiTheme="minorHAnsi" w:eastAsia="Times New Roman" w:hAnsiTheme="minorHAnsi"/>
      <w:sz w:val="22"/>
      <w:szCs w:val="24"/>
    </w:rPr>
  </w:style>
  <w:style w:type="paragraph" w:customStyle="1" w:styleId="LicenceIntro">
    <w:name w:val="LicenceIntro"/>
    <w:basedOn w:val="Licence"/>
    <w:rsid w:val="003B0519"/>
    <w:pPr>
      <w:spacing w:after="0"/>
      <w:ind w:left="0"/>
    </w:pPr>
    <w:rPr>
      <w:szCs w:val="20"/>
    </w:rPr>
  </w:style>
  <w:style w:type="character" w:customStyle="1" w:styleId="LicenceChar">
    <w:name w:val="Licence Char"/>
    <w:basedOn w:val="DefaultParagraphFont"/>
    <w:link w:val="Licence"/>
    <w:rsid w:val="003B0519"/>
    <w:rPr>
      <w:rFonts w:asciiTheme="minorHAnsi" w:eastAsia="Times New Roman" w:hAnsiTheme="minorHAnsi"/>
      <w:sz w:val="22"/>
      <w:szCs w:val="24"/>
    </w:rPr>
  </w:style>
  <w:style w:type="paragraph" w:customStyle="1" w:styleId="Address">
    <w:name w:val="Address"/>
    <w:basedOn w:val="Normal"/>
    <w:link w:val="AddressChar"/>
    <w:qFormat/>
    <w:rsid w:val="003B0519"/>
    <w:pPr>
      <w:spacing w:line="288" w:lineRule="auto"/>
      <w:ind w:left="426"/>
    </w:pPr>
    <w:rPr>
      <w:rFonts w:asciiTheme="minorHAnsi" w:eastAsia="Times New Roman" w:hAnsiTheme="minorHAnsi"/>
    </w:rPr>
  </w:style>
  <w:style w:type="character" w:customStyle="1" w:styleId="AddressChar">
    <w:name w:val="Address Char"/>
    <w:basedOn w:val="DefaultParagraphFont"/>
    <w:link w:val="Address"/>
    <w:rsid w:val="003B0519"/>
    <w:rPr>
      <w:rFonts w:asciiTheme="minorHAnsi" w:eastAsia="Times New Roman" w:hAnsiTheme="minorHAnsi"/>
      <w:sz w:val="22"/>
      <w:szCs w:val="24"/>
      <w:lang w:eastAsia="en-US"/>
    </w:rPr>
  </w:style>
  <w:style w:type="paragraph" w:customStyle="1" w:styleId="ResponseMethod">
    <w:name w:val="ResponseMethod"/>
    <w:link w:val="ResponseMethodChar"/>
    <w:qFormat/>
    <w:rsid w:val="003B0519"/>
    <w:pPr>
      <w:spacing w:after="240"/>
    </w:pPr>
    <w:rPr>
      <w:rFonts w:asciiTheme="majorHAnsi" w:eastAsia="Times New Roman" w:hAnsiTheme="majorHAnsi" w:cstheme="majorBidi"/>
      <w:b/>
      <w:bCs/>
      <w:i/>
      <w:color w:val="104F75"/>
      <w:sz w:val="24"/>
      <w:szCs w:val="28"/>
      <w:lang w:eastAsia="en-US"/>
    </w:rPr>
  </w:style>
  <w:style w:type="character" w:customStyle="1" w:styleId="ResponseMethodChar">
    <w:name w:val="ResponseMethod Char"/>
    <w:basedOn w:val="Heading4Char"/>
    <w:link w:val="ResponseMethod"/>
    <w:rsid w:val="003B0519"/>
    <w:rPr>
      <w:rFonts w:asciiTheme="majorHAnsi" w:eastAsia="Times New Roman" w:hAnsiTheme="majorHAnsi" w:cstheme="majorBidi"/>
      <w:b w:val="0"/>
      <w:bCs/>
      <w:i w:val="0"/>
      <w:iCs w:val="0"/>
      <w:color w:val="104F75"/>
      <w:sz w:val="24"/>
      <w:szCs w:val="28"/>
      <w:lang w:eastAsia="en-US"/>
    </w:rPr>
  </w:style>
  <w:style w:type="numbering" w:customStyle="1" w:styleId="StyleBulletedSymbolsymbolBlueUnderlineLeft063cmH">
    <w:name w:val="Style Bulleted Symbol (symbol) Blue Underline Left:  0.63 cm H..."/>
    <w:basedOn w:val="NoList"/>
    <w:rsid w:val="003B0519"/>
    <w:pPr>
      <w:numPr>
        <w:numId w:val="8"/>
      </w:numPr>
    </w:pPr>
  </w:style>
  <w:style w:type="numbering" w:customStyle="1" w:styleId="ListParagraph1">
    <w:name w:val="List Paragraph1"/>
    <w:basedOn w:val="NoList"/>
    <w:rsid w:val="003B0519"/>
    <w:pPr>
      <w:numPr>
        <w:numId w:val="9"/>
      </w:numPr>
    </w:pPr>
  </w:style>
  <w:style w:type="paragraph" w:customStyle="1" w:styleId="DfESOutNumbered">
    <w:name w:val="DfESOutNumbered"/>
    <w:basedOn w:val="Normal"/>
    <w:link w:val="DfESOutNumberedChar"/>
    <w:rsid w:val="003B0519"/>
    <w:pPr>
      <w:widowControl w:val="0"/>
      <w:numPr>
        <w:numId w:val="10"/>
      </w:numPr>
      <w:overflowPunct w:val="0"/>
      <w:autoSpaceDE w:val="0"/>
      <w:autoSpaceDN w:val="0"/>
      <w:adjustRightInd w:val="0"/>
      <w:spacing w:after="240"/>
      <w:textAlignment w:val="baseline"/>
    </w:pPr>
    <w:rPr>
      <w:rFonts w:asciiTheme="minorHAnsi" w:eastAsia="Times New Roman" w:hAnsiTheme="minorHAnsi" w:cs="Arial"/>
      <w:szCs w:val="20"/>
    </w:rPr>
  </w:style>
  <w:style w:type="character" w:customStyle="1" w:styleId="DfESOutNumberedChar">
    <w:name w:val="DfESOutNumbered Char"/>
    <w:basedOn w:val="DefaultParagraphFont"/>
    <w:link w:val="DfESOutNumbered"/>
    <w:rsid w:val="003B0519"/>
    <w:rPr>
      <w:rFonts w:asciiTheme="minorHAnsi" w:eastAsia="Times New Roman" w:hAnsiTheme="minorHAnsi" w:cs="Arial"/>
      <w:sz w:val="22"/>
      <w:lang w:eastAsia="en-US"/>
    </w:rPr>
  </w:style>
  <w:style w:type="paragraph" w:customStyle="1" w:styleId="TableHeaderCentered">
    <w:name w:val="TableHeaderCentered"/>
    <w:basedOn w:val="TableHeader"/>
    <w:rsid w:val="003B0519"/>
    <w:pPr>
      <w:jc w:val="center"/>
    </w:pPr>
    <w:rPr>
      <w:bCs/>
      <w:szCs w:val="20"/>
    </w:rPr>
  </w:style>
  <w:style w:type="numbering" w:customStyle="1" w:styleId="NumberedList">
    <w:name w:val="Numbered List"/>
    <w:basedOn w:val="NoList"/>
    <w:rsid w:val="003B0519"/>
    <w:pPr>
      <w:numPr>
        <w:numId w:val="11"/>
      </w:numPr>
    </w:pPr>
  </w:style>
  <w:style w:type="numbering" w:customStyle="1" w:styleId="NumberedList0">
    <w:name w:val="NumberedList"/>
    <w:basedOn w:val="NoList"/>
    <w:rsid w:val="003B0519"/>
    <w:pPr>
      <w:numPr>
        <w:numId w:val="12"/>
      </w:numPr>
    </w:pPr>
  </w:style>
  <w:style w:type="numbering" w:customStyle="1" w:styleId="NumberList">
    <w:name w:val="Number List"/>
    <w:basedOn w:val="NoList"/>
    <w:rsid w:val="003B0519"/>
    <w:pPr>
      <w:numPr>
        <w:numId w:val="13"/>
      </w:numPr>
    </w:pPr>
  </w:style>
  <w:style w:type="paragraph" w:customStyle="1" w:styleId="ColouredBoxbodytext">
    <w:name w:val="Coloured Box body text"/>
    <w:basedOn w:val="Normal"/>
    <w:link w:val="ColouredBoxbodytextChar"/>
    <w:qFormat/>
    <w:rsid w:val="003B0519"/>
    <w:pPr>
      <w:spacing w:after="240" w:line="288" w:lineRule="auto"/>
      <w:ind w:left="113" w:right="113"/>
    </w:pPr>
    <w:rPr>
      <w:rFonts w:asciiTheme="minorHAnsi" w:eastAsia="Times New Roman" w:hAnsiTheme="minorHAnsi"/>
      <w:lang w:eastAsia="en-GB"/>
    </w:rPr>
  </w:style>
  <w:style w:type="character" w:customStyle="1" w:styleId="ColouredBoxbodytextChar">
    <w:name w:val="Coloured Box body text Char"/>
    <w:basedOn w:val="DefaultParagraphFont"/>
    <w:link w:val="ColouredBoxbodytext"/>
    <w:rsid w:val="003B0519"/>
    <w:rPr>
      <w:rFonts w:asciiTheme="minorHAnsi" w:eastAsia="Times New Roman" w:hAnsiTheme="minorHAnsi"/>
      <w:sz w:val="22"/>
      <w:szCs w:val="24"/>
    </w:rPr>
  </w:style>
  <w:style w:type="paragraph" w:customStyle="1" w:styleId="DeptBullets">
    <w:name w:val="DeptBullets"/>
    <w:basedOn w:val="Normal"/>
    <w:link w:val="DeptBulletsChar"/>
    <w:rsid w:val="003B0519"/>
    <w:pPr>
      <w:widowControl w:val="0"/>
      <w:numPr>
        <w:numId w:val="14"/>
      </w:numPr>
      <w:overflowPunct w:val="0"/>
      <w:autoSpaceDE w:val="0"/>
      <w:autoSpaceDN w:val="0"/>
      <w:adjustRightInd w:val="0"/>
      <w:spacing w:after="240"/>
      <w:textAlignment w:val="baseline"/>
    </w:pPr>
    <w:rPr>
      <w:rFonts w:asciiTheme="minorHAnsi" w:eastAsia="Times New Roman" w:hAnsiTheme="minorHAnsi"/>
      <w:szCs w:val="20"/>
    </w:rPr>
  </w:style>
  <w:style w:type="character" w:customStyle="1" w:styleId="DeptBulletsChar">
    <w:name w:val="DeptBullets Char"/>
    <w:basedOn w:val="DefaultParagraphFont"/>
    <w:link w:val="DeptBullets"/>
    <w:rsid w:val="003B0519"/>
    <w:rPr>
      <w:rFonts w:asciiTheme="minorHAnsi" w:eastAsia="Times New Roman" w:hAnsiTheme="minorHAnsi"/>
      <w:sz w:val="22"/>
      <w:lang w:eastAsia="en-US"/>
    </w:rPr>
  </w:style>
  <w:style w:type="character" w:customStyle="1" w:styleId="LogosChar">
    <w:name w:val="Logos Char"/>
    <w:basedOn w:val="DefaultParagraphFont"/>
    <w:link w:val="Logos"/>
    <w:locked/>
    <w:rsid w:val="003B0519"/>
    <w:rPr>
      <w:noProof/>
      <w:color w:val="0D0D0D" w:themeColor="text1" w:themeTint="F2"/>
      <w:sz w:val="24"/>
      <w:szCs w:val="24"/>
    </w:rPr>
  </w:style>
  <w:style w:type="paragraph" w:customStyle="1" w:styleId="Logos">
    <w:name w:val="Logos"/>
    <w:basedOn w:val="Normal"/>
    <w:link w:val="LogosChar"/>
    <w:rsid w:val="003B0519"/>
    <w:pPr>
      <w:pageBreakBefore/>
      <w:widowControl w:val="0"/>
      <w:spacing w:after="240" w:line="288" w:lineRule="auto"/>
    </w:pPr>
    <w:rPr>
      <w:noProof/>
      <w:color w:val="0D0D0D" w:themeColor="text1" w:themeTint="F2"/>
      <w:sz w:val="24"/>
      <w:lang w:eastAsia="en-GB"/>
    </w:rPr>
  </w:style>
  <w:style w:type="character" w:customStyle="1" w:styleId="ListParagraphChar">
    <w:name w:val="List Paragraph Char"/>
    <w:aliases w:val="Dot pt Char,F5 List Paragraph Char,Colorful List - Accent 11 Char,No Spacing1 Char,List Paragraph Char Char Char Char,Indicator Text Char,Numbered Para 1 Char,Bullet 1 Char,Bullet Points Char,MAIN CONTENT Char,List Paragraph12 Char"/>
    <w:basedOn w:val="DefaultParagraphFont"/>
    <w:link w:val="ListParagraph"/>
    <w:uiPriority w:val="34"/>
    <w:qFormat/>
    <w:locked/>
    <w:rsid w:val="003B0519"/>
    <w:rPr>
      <w:rFonts w:asciiTheme="minorHAnsi" w:eastAsia="Times New Roman" w:hAnsiTheme="minorHAnsi"/>
      <w:sz w:val="22"/>
      <w:szCs w:val="24"/>
    </w:rPr>
  </w:style>
  <w:style w:type="character" w:styleId="Strong">
    <w:name w:val="Strong"/>
    <w:basedOn w:val="DefaultParagraphFont"/>
    <w:uiPriority w:val="22"/>
    <w:qFormat/>
    <w:rsid w:val="003B0519"/>
    <w:rPr>
      <w:b/>
      <w:bCs/>
    </w:rPr>
  </w:style>
  <w:style w:type="paragraph" w:styleId="NormalWeb">
    <w:name w:val="Normal (Web)"/>
    <w:basedOn w:val="Normal"/>
    <w:uiPriority w:val="99"/>
    <w:unhideWhenUsed/>
    <w:rsid w:val="003B0519"/>
    <w:pPr>
      <w:spacing w:after="150"/>
    </w:pPr>
    <w:rPr>
      <w:rFonts w:ascii="Times New Roman" w:eastAsia="Times New Roman" w:hAnsi="Times New Roman"/>
      <w:lang w:eastAsia="en-GB"/>
    </w:rPr>
  </w:style>
  <w:style w:type="paragraph" w:customStyle="1" w:styleId="Default">
    <w:name w:val="Default"/>
    <w:basedOn w:val="Normal"/>
    <w:rsid w:val="003B0519"/>
    <w:pPr>
      <w:autoSpaceDE w:val="0"/>
      <w:autoSpaceDN w:val="0"/>
    </w:pPr>
    <w:rPr>
      <w:rFonts w:asciiTheme="minorHAnsi" w:eastAsiaTheme="minorHAnsi" w:hAnsiTheme="minorHAnsi" w:cs="Arial"/>
      <w:color w:val="000000"/>
    </w:rPr>
  </w:style>
  <w:style w:type="paragraph" w:customStyle="1" w:styleId="numberpara1">
    <w:name w:val="number para 1"/>
    <w:basedOn w:val="Normal"/>
    <w:qFormat/>
    <w:rsid w:val="003B0519"/>
    <w:pPr>
      <w:numPr>
        <w:numId w:val="15"/>
      </w:numPr>
      <w:spacing w:after="200" w:line="276" w:lineRule="auto"/>
    </w:pPr>
    <w:rPr>
      <w:rFonts w:asciiTheme="minorHAnsi" w:eastAsiaTheme="minorHAnsi" w:hAnsiTheme="minorHAnsi" w:cstheme="minorBidi"/>
      <w:b/>
      <w:szCs w:val="22"/>
    </w:rPr>
  </w:style>
  <w:style w:type="paragraph" w:customStyle="1" w:styleId="legclearfix2">
    <w:name w:val="legclearfix2"/>
    <w:basedOn w:val="Normal"/>
    <w:rsid w:val="003B0519"/>
    <w:pPr>
      <w:shd w:val="clear" w:color="auto" w:fill="FFFFFF"/>
      <w:spacing w:after="120" w:line="360" w:lineRule="atLeast"/>
    </w:pPr>
    <w:rPr>
      <w:rFonts w:ascii="Times New Roman" w:eastAsia="Times New Roman" w:hAnsi="Times New Roman"/>
      <w:color w:val="000000"/>
      <w:sz w:val="19"/>
      <w:szCs w:val="19"/>
      <w:lang w:eastAsia="en-GB"/>
    </w:rPr>
  </w:style>
  <w:style w:type="character" w:customStyle="1" w:styleId="legds2">
    <w:name w:val="legds2"/>
    <w:basedOn w:val="DefaultParagraphFont"/>
    <w:rsid w:val="003B0519"/>
    <w:rPr>
      <w:vanish w:val="0"/>
      <w:webHidden w:val="0"/>
      <w:specVanish w:val="0"/>
    </w:rPr>
  </w:style>
  <w:style w:type="paragraph" w:customStyle="1" w:styleId="NumberedNormal">
    <w:name w:val="Numbered Normal"/>
    <w:basedOn w:val="ListParagraph"/>
    <w:link w:val="NumberedNormalChar"/>
    <w:qFormat/>
    <w:rsid w:val="003B0519"/>
    <w:pPr>
      <w:numPr>
        <w:numId w:val="0"/>
      </w:numPr>
      <w:spacing w:line="240" w:lineRule="auto"/>
      <w:contextualSpacing w:val="0"/>
    </w:pPr>
    <w:rPr>
      <w:rFonts w:cstheme="minorHAnsi"/>
    </w:rPr>
  </w:style>
  <w:style w:type="paragraph" w:customStyle="1" w:styleId="legclearfix">
    <w:name w:val="legclearfix"/>
    <w:basedOn w:val="Normal"/>
    <w:rsid w:val="003B0519"/>
    <w:pPr>
      <w:spacing w:before="100" w:beforeAutospacing="1" w:after="100" w:afterAutospacing="1"/>
    </w:pPr>
    <w:rPr>
      <w:rFonts w:ascii="Times New Roman" w:eastAsia="Times New Roman" w:hAnsi="Times New Roman"/>
      <w:lang w:eastAsia="en-GB"/>
    </w:rPr>
  </w:style>
  <w:style w:type="paragraph" w:customStyle="1" w:styleId="Bullet">
    <w:name w:val="Bullet"/>
    <w:basedOn w:val="Normal"/>
    <w:rsid w:val="003B0519"/>
    <w:pPr>
      <w:numPr>
        <w:numId w:val="16"/>
      </w:numPr>
      <w:tabs>
        <w:tab w:val="clear" w:pos="864"/>
        <w:tab w:val="num" w:pos="360"/>
      </w:tabs>
      <w:ind w:left="0" w:firstLine="0"/>
    </w:pPr>
    <w:rPr>
      <w:rFonts w:ascii="Calibri" w:hAnsi="Calibri"/>
      <w:szCs w:val="22"/>
    </w:rPr>
  </w:style>
  <w:style w:type="numbering" w:customStyle="1" w:styleId="LFO10">
    <w:name w:val="LFO10"/>
    <w:basedOn w:val="NoList"/>
    <w:rsid w:val="003B0519"/>
    <w:pPr>
      <w:numPr>
        <w:numId w:val="17"/>
      </w:numPr>
    </w:pPr>
  </w:style>
  <w:style w:type="character" w:customStyle="1" w:styleId="NumberedNormalChar">
    <w:name w:val="Numbered Normal Char"/>
    <w:basedOn w:val="DefaultParagraphFont"/>
    <w:link w:val="NumberedNormal"/>
    <w:rsid w:val="003B0519"/>
    <w:rPr>
      <w:rFonts w:asciiTheme="minorHAnsi" w:eastAsia="Times New Roman" w:hAnsiTheme="minorHAnsi" w:cstheme="minorHAnsi"/>
      <w:sz w:val="22"/>
      <w:szCs w:val="24"/>
    </w:rPr>
  </w:style>
  <w:style w:type="table" w:customStyle="1" w:styleId="TableGrid1">
    <w:name w:val="Table Grid1"/>
    <w:basedOn w:val="TableNormal"/>
    <w:next w:val="TableGrid"/>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Heading">
    <w:name w:val="Checklist Heading"/>
    <w:basedOn w:val="Heading2"/>
    <w:uiPriority w:val="3"/>
    <w:qFormat/>
    <w:rsid w:val="003B0519"/>
    <w:pPr>
      <w:keepNext w:val="0"/>
      <w:keepLines w:val="0"/>
      <w:spacing w:before="0" w:after="0" w:line="240" w:lineRule="auto"/>
      <w:ind w:left="357" w:hanging="357"/>
      <w:contextualSpacing w:val="0"/>
    </w:pPr>
    <w:rPr>
      <w:rFonts w:asciiTheme="minorHAnsi" w:eastAsia="Times New Roman" w:hAnsiTheme="minorHAnsi" w:cstheme="minorHAnsi"/>
      <w:b w:val="0"/>
      <w:iCs w:val="0"/>
      <w:color w:val="auto"/>
      <w:sz w:val="24"/>
      <w:szCs w:val="32"/>
      <w:u w:val="single"/>
      <w:lang w:eastAsia="en-GB"/>
    </w:rPr>
  </w:style>
  <w:style w:type="table" w:customStyle="1" w:styleId="TableGrid4">
    <w:name w:val="Table Grid4"/>
    <w:basedOn w:val="TableNormal"/>
    <w:next w:val="TableGrid"/>
    <w:uiPriority w:val="39"/>
    <w:rsid w:val="003B0519"/>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B0519"/>
    <w:rPr>
      <w:rFonts w:ascii="Times New Roman" w:eastAsiaTheme="minorHAnsi" w:hAnsi="Times New Roman"/>
      <w:lang w:eastAsia="en-GB"/>
    </w:rPr>
  </w:style>
  <w:style w:type="character" w:customStyle="1" w:styleId="normaltextrun1">
    <w:name w:val="normaltextrun1"/>
    <w:basedOn w:val="DefaultParagraphFont"/>
    <w:rsid w:val="003B0519"/>
  </w:style>
  <w:style w:type="character" w:customStyle="1" w:styleId="eop">
    <w:name w:val="eop"/>
    <w:basedOn w:val="DefaultParagraphFont"/>
    <w:rsid w:val="003B0519"/>
  </w:style>
  <w:style w:type="character" w:customStyle="1" w:styleId="spellingerror">
    <w:name w:val="spellingerror"/>
    <w:basedOn w:val="DefaultParagraphFont"/>
    <w:rsid w:val="003B0519"/>
  </w:style>
  <w:style w:type="paragraph" w:styleId="PlainText">
    <w:name w:val="Plain Text"/>
    <w:basedOn w:val="Normal"/>
    <w:link w:val="PlainTextChar"/>
    <w:uiPriority w:val="99"/>
    <w:semiHidden/>
    <w:unhideWhenUsed/>
    <w:rsid w:val="003B0519"/>
    <w:rPr>
      <w:rFonts w:ascii="Calibri" w:eastAsiaTheme="minorHAnsi" w:hAnsi="Calibri"/>
      <w:szCs w:val="22"/>
    </w:rPr>
  </w:style>
  <w:style w:type="character" w:customStyle="1" w:styleId="PlainTextChar">
    <w:name w:val="Plain Text Char"/>
    <w:basedOn w:val="DefaultParagraphFont"/>
    <w:link w:val="PlainText"/>
    <w:uiPriority w:val="99"/>
    <w:semiHidden/>
    <w:rsid w:val="003B0519"/>
    <w:rPr>
      <w:rFonts w:ascii="Calibri" w:eastAsiaTheme="minorHAnsi" w:hAnsi="Calibri"/>
      <w:sz w:val="22"/>
      <w:szCs w:val="22"/>
      <w:lang w:eastAsia="en-US"/>
    </w:rPr>
  </w:style>
  <w:style w:type="paragraph" w:customStyle="1" w:styleId="p1">
    <w:name w:val="p1"/>
    <w:basedOn w:val="Normal"/>
    <w:rsid w:val="003B0519"/>
    <w:rPr>
      <w:rFonts w:ascii=".SF UI Text" w:eastAsiaTheme="minorHAnsi" w:hAnsi=".SF UI Text"/>
      <w:color w:val="454545"/>
      <w:sz w:val="26"/>
      <w:szCs w:val="26"/>
      <w:lang w:eastAsia="en-GB"/>
    </w:rPr>
  </w:style>
  <w:style w:type="character" w:customStyle="1" w:styleId="s1">
    <w:name w:val="s1"/>
    <w:basedOn w:val="DefaultParagraphFont"/>
    <w:rsid w:val="003B0519"/>
    <w:rPr>
      <w:rFonts w:ascii=".SFUIText" w:hAnsi=".SFUIText" w:hint="default"/>
      <w:b w:val="0"/>
      <w:bCs w:val="0"/>
      <w:i w:val="0"/>
      <w:iCs w:val="0"/>
      <w:sz w:val="34"/>
      <w:szCs w:val="34"/>
    </w:rPr>
  </w:style>
  <w:style w:type="table" w:customStyle="1" w:styleId="TableGrid5">
    <w:name w:val="Table Grid5"/>
    <w:basedOn w:val="TableNormal"/>
    <w:next w:val="TableGrid"/>
    <w:uiPriority w:val="39"/>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3B0519"/>
  </w:style>
  <w:style w:type="paragraph" w:customStyle="1" w:styleId="RFnumberedpara">
    <w:name w:val="RF numbered para"/>
    <w:basedOn w:val="Normal"/>
    <w:autoRedefine/>
    <w:qFormat/>
    <w:rsid w:val="00A54427"/>
    <w:pPr>
      <w:numPr>
        <w:numId w:val="25"/>
      </w:numPr>
      <w:spacing w:after="220" w:line="264" w:lineRule="auto"/>
      <w:ind w:left="567" w:hanging="567"/>
    </w:pPr>
    <w:rPr>
      <w:rFonts w:cs="Arial"/>
    </w:rPr>
  </w:style>
  <w:style w:type="paragraph" w:customStyle="1" w:styleId="RFnumberedparaL2">
    <w:name w:val="RF numbered para L2"/>
    <w:basedOn w:val="RFnumberedpara"/>
    <w:qFormat/>
    <w:rsid w:val="00295B73"/>
    <w:pPr>
      <w:numPr>
        <w:numId w:val="26"/>
      </w:numPr>
      <w:ind w:left="851" w:hanging="284"/>
    </w:pPr>
  </w:style>
  <w:style w:type="paragraph" w:customStyle="1" w:styleId="RFbullet">
    <w:name w:val="RF bullet"/>
    <w:basedOn w:val="RFnumberedpara"/>
    <w:autoRedefine/>
    <w:qFormat/>
    <w:rsid w:val="00601FCC"/>
    <w:pPr>
      <w:numPr>
        <w:numId w:val="28"/>
      </w:numPr>
      <w:ind w:left="851" w:hanging="284"/>
    </w:pPr>
  </w:style>
  <w:style w:type="paragraph" w:customStyle="1" w:styleId="RFn">
    <w:name w:val="RFn"/>
    <w:basedOn w:val="ListParagraph"/>
    <w:qFormat/>
    <w:rsid w:val="003B0519"/>
    <w:pPr>
      <w:numPr>
        <w:numId w:val="0"/>
      </w:numPr>
      <w:ind w:left="360" w:hanging="360"/>
      <w:contextualSpacing w:val="0"/>
    </w:pPr>
    <w:rPr>
      <w:rFonts w:cs="Arial"/>
    </w:rPr>
  </w:style>
  <w:style w:type="paragraph" w:customStyle="1" w:styleId="RFnumberedparaL3">
    <w:name w:val="RF numbered para L3"/>
    <w:basedOn w:val="RFnumberedparaL2"/>
    <w:qFormat/>
    <w:rsid w:val="003B0519"/>
    <w:pPr>
      <w:numPr>
        <w:numId w:val="19"/>
      </w:numPr>
    </w:pPr>
  </w:style>
  <w:style w:type="paragraph" w:customStyle="1" w:styleId="RFexecsum">
    <w:name w:val="RF exec sum"/>
    <w:basedOn w:val="RFnumberedpara"/>
    <w:qFormat/>
    <w:rsid w:val="003B0519"/>
    <w:pPr>
      <w:numPr>
        <w:numId w:val="18"/>
      </w:numPr>
    </w:pPr>
  </w:style>
  <w:style w:type="paragraph" w:customStyle="1" w:styleId="05IANumberedparagraph">
    <w:name w:val="05_IA_Numbered paragraph"/>
    <w:basedOn w:val="Normal"/>
    <w:rsid w:val="003B0519"/>
    <w:rPr>
      <w:rFonts w:asciiTheme="minorHAnsi" w:eastAsia="Times New Roman" w:hAnsiTheme="minorHAnsi"/>
      <w:color w:val="0D0D0D" w:themeColor="text1" w:themeTint="F2"/>
      <w:lang w:eastAsia="en-GB"/>
    </w:rPr>
  </w:style>
  <w:style w:type="paragraph" w:customStyle="1" w:styleId="AudRepBullet">
    <w:name w:val="AudRepBullet"/>
    <w:basedOn w:val="Normal"/>
    <w:rsid w:val="003B0519"/>
    <w:pPr>
      <w:spacing w:after="240"/>
    </w:pPr>
    <w:rPr>
      <w:rFonts w:asciiTheme="minorHAnsi" w:eastAsia="Times New Roman" w:hAnsiTheme="minorHAnsi"/>
      <w:color w:val="0D0D0D" w:themeColor="text1" w:themeTint="F2"/>
      <w:szCs w:val="20"/>
      <w:lang w:eastAsia="en-GB"/>
    </w:rPr>
  </w:style>
  <w:style w:type="paragraph" w:styleId="IntenseQuote">
    <w:name w:val="Intense Quote"/>
    <w:basedOn w:val="Normal"/>
    <w:next w:val="Normal"/>
    <w:link w:val="IntenseQuoteChar"/>
    <w:uiPriority w:val="30"/>
    <w:qFormat/>
    <w:rsid w:val="003B0519"/>
    <w:pPr>
      <w:pBdr>
        <w:bottom w:val="single" w:sz="4" w:space="4" w:color="323157" w:themeColor="accent1"/>
      </w:pBdr>
      <w:spacing w:before="200" w:after="280"/>
      <w:ind w:left="936" w:right="936"/>
    </w:pPr>
    <w:rPr>
      <w:rFonts w:asciiTheme="minorHAnsi" w:eastAsia="Times New Roman" w:hAnsiTheme="minorHAnsi"/>
      <w:b/>
      <w:bCs/>
      <w:i/>
      <w:iCs/>
      <w:color w:val="323157" w:themeColor="accent1"/>
      <w:lang w:eastAsia="en-GB"/>
    </w:rPr>
  </w:style>
  <w:style w:type="character" w:customStyle="1" w:styleId="IntenseQuoteChar">
    <w:name w:val="Intense Quote Char"/>
    <w:basedOn w:val="DefaultParagraphFont"/>
    <w:link w:val="IntenseQuote"/>
    <w:uiPriority w:val="30"/>
    <w:rsid w:val="003B0519"/>
    <w:rPr>
      <w:rFonts w:asciiTheme="minorHAnsi" w:eastAsia="Times New Roman" w:hAnsiTheme="minorHAnsi"/>
      <w:b/>
      <w:bCs/>
      <w:i/>
      <w:iCs/>
      <w:color w:val="323157" w:themeColor="accent1"/>
      <w:sz w:val="22"/>
      <w:szCs w:val="24"/>
    </w:rPr>
  </w:style>
  <w:style w:type="paragraph" w:customStyle="1" w:styleId="DfESBullets">
    <w:name w:val="DfESBullets"/>
    <w:basedOn w:val="Normal"/>
    <w:uiPriority w:val="99"/>
    <w:rsid w:val="003B0519"/>
    <w:pPr>
      <w:widowControl w:val="0"/>
      <w:overflowPunct w:val="0"/>
      <w:autoSpaceDE w:val="0"/>
      <w:autoSpaceDN w:val="0"/>
      <w:adjustRightInd w:val="0"/>
      <w:spacing w:after="240"/>
      <w:textAlignment w:val="baseline"/>
    </w:pPr>
    <w:rPr>
      <w:rFonts w:asciiTheme="minorHAnsi" w:eastAsia="Times New Roman" w:hAnsiTheme="minorHAnsi"/>
      <w:color w:val="0D0D0D" w:themeColor="text1" w:themeTint="F2"/>
      <w:szCs w:val="20"/>
      <w:lang w:eastAsia="en-GB"/>
    </w:rPr>
  </w:style>
  <w:style w:type="table" w:styleId="TableColumns1">
    <w:name w:val="Table Columns 1"/>
    <w:basedOn w:val="TableNormal"/>
    <w:rsid w:val="003B0519"/>
    <w:pPr>
      <w:spacing w:after="240" w:line="288" w:lineRule="auto"/>
    </w:pPr>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ext">
    <w:name w:val="text"/>
    <w:basedOn w:val="DefaultParagraphFont"/>
    <w:rsid w:val="003B0519"/>
  </w:style>
  <w:style w:type="paragraph" w:customStyle="1" w:styleId="msonormal0">
    <w:name w:val="msonormal"/>
    <w:basedOn w:val="Normal"/>
    <w:rsid w:val="003B0519"/>
    <w:pPr>
      <w:spacing w:before="100" w:beforeAutospacing="1" w:after="100" w:afterAutospacing="1"/>
    </w:pPr>
    <w:rPr>
      <w:rFonts w:ascii="Times New Roman" w:eastAsia="Times New Roman" w:hAnsi="Times New Roman"/>
      <w:color w:val="0D0D0D" w:themeColor="text1" w:themeTint="F2"/>
      <w:lang w:eastAsia="en-GB"/>
    </w:rPr>
  </w:style>
  <w:style w:type="paragraph" w:styleId="NoSpacing">
    <w:name w:val="No Spacing"/>
    <w:uiPriority w:val="1"/>
    <w:qFormat/>
    <w:rsid w:val="003B0519"/>
    <w:rPr>
      <w:rFonts w:asciiTheme="minorHAnsi" w:eastAsiaTheme="minorHAnsi" w:hAnsiTheme="minorHAnsi" w:cstheme="minorBidi"/>
      <w:sz w:val="22"/>
      <w:szCs w:val="22"/>
      <w:lang w:eastAsia="en-US"/>
    </w:rPr>
  </w:style>
  <w:style w:type="paragraph" w:customStyle="1" w:styleId="Centredembed">
    <w:name w:val="Centred embed"/>
    <w:basedOn w:val="Normal"/>
    <w:rsid w:val="003B0519"/>
    <w:pPr>
      <w:spacing w:line="288" w:lineRule="auto"/>
      <w:jc w:val="center"/>
    </w:pPr>
    <w:rPr>
      <w:rFonts w:asciiTheme="minorHAnsi" w:eastAsia="Times New Roman" w:hAnsiTheme="minorHAnsi"/>
      <w:color w:val="0D0D0D" w:themeColor="text1" w:themeTint="F2"/>
      <w:szCs w:val="20"/>
      <w:lang w:eastAsia="en-GB"/>
    </w:rPr>
  </w:style>
  <w:style w:type="paragraph" w:customStyle="1" w:styleId="DfESOutNumbered1">
    <w:name w:val="DfESOutNumbered1"/>
    <w:basedOn w:val="Normal"/>
    <w:link w:val="DfESOutNumbered1Char"/>
    <w:qFormat/>
    <w:rsid w:val="003B0519"/>
    <w:pPr>
      <w:numPr>
        <w:numId w:val="20"/>
      </w:numPr>
      <w:spacing w:after="240" w:line="288" w:lineRule="auto"/>
    </w:pPr>
    <w:rPr>
      <w:rFonts w:asciiTheme="minorHAnsi" w:eastAsia="Times New Roman" w:hAnsiTheme="minorHAnsi"/>
      <w:color w:val="0D0D0D" w:themeColor="text1" w:themeTint="F2"/>
      <w:lang w:eastAsia="en-GB"/>
    </w:rPr>
  </w:style>
  <w:style w:type="character" w:customStyle="1" w:styleId="DfESOutNumbered1Char">
    <w:name w:val="DfESOutNumbered1 Char"/>
    <w:link w:val="DfESOutNumbered1"/>
    <w:rsid w:val="003B0519"/>
    <w:rPr>
      <w:rFonts w:asciiTheme="minorHAnsi" w:eastAsia="Times New Roman" w:hAnsiTheme="minorHAnsi"/>
      <w:color w:val="0D0D0D" w:themeColor="text1" w:themeTint="F2"/>
      <w:sz w:val="22"/>
      <w:szCs w:val="24"/>
    </w:rPr>
  </w:style>
  <w:style w:type="paragraph" w:styleId="ListBullet5">
    <w:name w:val="List Bullet 5"/>
    <w:basedOn w:val="Normal"/>
    <w:rsid w:val="003B0519"/>
    <w:pPr>
      <w:spacing w:after="240" w:line="288" w:lineRule="auto"/>
    </w:pPr>
    <w:rPr>
      <w:rFonts w:asciiTheme="minorHAnsi" w:eastAsia="Times New Roman" w:hAnsiTheme="minorHAnsi"/>
      <w:color w:val="0D0D0D" w:themeColor="text1" w:themeTint="F2"/>
      <w:lang w:eastAsia="en-GB"/>
    </w:rPr>
  </w:style>
  <w:style w:type="paragraph" w:styleId="ListBullet3">
    <w:name w:val="List Bullet 3"/>
    <w:basedOn w:val="Normal"/>
    <w:rsid w:val="003B0519"/>
    <w:pPr>
      <w:numPr>
        <w:numId w:val="21"/>
      </w:numPr>
      <w:spacing w:after="240" w:line="288" w:lineRule="auto"/>
      <w:contextualSpacing/>
    </w:pPr>
    <w:rPr>
      <w:rFonts w:asciiTheme="minorHAnsi" w:eastAsia="Times New Roman" w:hAnsiTheme="minorHAnsi"/>
      <w:color w:val="0D0D0D" w:themeColor="text1" w:themeTint="F2"/>
      <w:lang w:eastAsia="en-GB"/>
    </w:rPr>
  </w:style>
  <w:style w:type="paragraph" w:styleId="ListBullet4">
    <w:name w:val="List Bullet 4"/>
    <w:basedOn w:val="Normal"/>
    <w:rsid w:val="003B0519"/>
    <w:pPr>
      <w:numPr>
        <w:numId w:val="22"/>
      </w:numPr>
      <w:spacing w:after="240" w:line="288" w:lineRule="auto"/>
      <w:contextualSpacing/>
    </w:pPr>
    <w:rPr>
      <w:rFonts w:asciiTheme="minorHAnsi" w:eastAsia="Times New Roman" w:hAnsiTheme="minorHAnsi"/>
      <w:color w:val="0D0D0D" w:themeColor="text1" w:themeTint="F2"/>
      <w:lang w:eastAsia="en-GB"/>
    </w:rPr>
  </w:style>
  <w:style w:type="character" w:customStyle="1" w:styleId="RGB">
    <w:name w:val="RGB"/>
    <w:basedOn w:val="DefaultParagraphFont"/>
    <w:rsid w:val="003B0519"/>
    <w:rPr>
      <w:b/>
      <w:bCs/>
      <w:sz w:val="20"/>
    </w:rPr>
  </w:style>
  <w:style w:type="character" w:customStyle="1" w:styleId="RGBValues">
    <w:name w:val="RGB Values"/>
    <w:basedOn w:val="DefaultParagraphFont"/>
    <w:rsid w:val="003B0519"/>
    <w:rPr>
      <w:sz w:val="20"/>
    </w:rPr>
  </w:style>
  <w:style w:type="paragraph" w:customStyle="1" w:styleId="Source">
    <w:name w:val="Source"/>
    <w:basedOn w:val="Normal"/>
    <w:link w:val="SourceChar"/>
    <w:qFormat/>
    <w:rsid w:val="003B0519"/>
    <w:pPr>
      <w:spacing w:after="240" w:line="288" w:lineRule="auto"/>
      <w:jc w:val="right"/>
    </w:pPr>
    <w:rPr>
      <w:rFonts w:asciiTheme="minorHAnsi" w:eastAsia="Times New Roman" w:hAnsiTheme="minorHAnsi"/>
      <w:color w:val="0D0D0D" w:themeColor="text1" w:themeTint="F2"/>
      <w:sz w:val="20"/>
      <w:szCs w:val="20"/>
      <w:lang w:eastAsia="en-GB"/>
    </w:rPr>
  </w:style>
  <w:style w:type="character" w:customStyle="1" w:styleId="SourceChar">
    <w:name w:val="Source Char"/>
    <w:basedOn w:val="DefaultParagraphFont"/>
    <w:link w:val="Source"/>
    <w:locked/>
    <w:rsid w:val="003B0519"/>
    <w:rPr>
      <w:rFonts w:asciiTheme="minorHAnsi" w:eastAsia="Times New Roman" w:hAnsiTheme="minorHAnsi"/>
      <w:color w:val="0D0D0D" w:themeColor="text1" w:themeTint="F2"/>
    </w:rPr>
  </w:style>
  <w:style w:type="paragraph" w:customStyle="1" w:styleId="TableRowCentered">
    <w:name w:val="TableRowCentered"/>
    <w:basedOn w:val="TableRow"/>
    <w:rsid w:val="003B0519"/>
    <w:pPr>
      <w:jc w:val="center"/>
    </w:pPr>
    <w:rPr>
      <w:color w:val="0D0D0D" w:themeColor="text1" w:themeTint="F2"/>
      <w:szCs w:val="20"/>
    </w:rPr>
  </w:style>
  <w:style w:type="paragraph" w:customStyle="1" w:styleId="TableRowRight">
    <w:name w:val="TableRowRight"/>
    <w:basedOn w:val="TableRow"/>
    <w:rsid w:val="003B0519"/>
    <w:pPr>
      <w:jc w:val="right"/>
    </w:pPr>
    <w:rPr>
      <w:color w:val="0D0D0D" w:themeColor="text1" w:themeTint="F2"/>
      <w:szCs w:val="20"/>
    </w:rPr>
  </w:style>
  <w:style w:type="paragraph" w:customStyle="1" w:styleId="RFb">
    <w:name w:val="RF b#"/>
    <w:basedOn w:val="ListParagraph"/>
    <w:rsid w:val="003B0519"/>
    <w:pPr>
      <w:numPr>
        <w:numId w:val="0"/>
      </w:numPr>
    </w:pPr>
    <w:rPr>
      <w:color w:val="000000" w:themeColor="text1"/>
    </w:rPr>
  </w:style>
  <w:style w:type="paragraph" w:customStyle="1" w:styleId="RFb0">
    <w:name w:val="RF b"/>
    <w:basedOn w:val="RFb"/>
    <w:rsid w:val="003B0519"/>
  </w:style>
  <w:style w:type="table" w:customStyle="1" w:styleId="TableGrid6">
    <w:name w:val="Table Grid6"/>
    <w:basedOn w:val="TableNormal"/>
    <w:next w:val="TableGrid"/>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bu">
    <w:name w:val="Re bu"/>
    <w:basedOn w:val="Normal"/>
    <w:qFormat/>
    <w:rsid w:val="003B0519"/>
    <w:pPr>
      <w:spacing w:after="240" w:line="288" w:lineRule="auto"/>
    </w:pPr>
    <w:rPr>
      <w:rFonts w:asciiTheme="minorHAnsi" w:eastAsia="Times New Roman" w:hAnsiTheme="minorHAnsi"/>
      <w:lang w:eastAsia="en-GB"/>
    </w:rPr>
  </w:style>
  <w:style w:type="paragraph" w:customStyle="1" w:styleId="pignumbers">
    <w:name w:val="pig numbers"/>
    <w:basedOn w:val="RFnumberedpara"/>
    <w:qFormat/>
    <w:rsid w:val="003B0519"/>
    <w:pPr>
      <w:numPr>
        <w:numId w:val="23"/>
      </w:numPr>
    </w:pPr>
  </w:style>
  <w:style w:type="paragraph" w:customStyle="1" w:styleId="PIPnumbered">
    <w:name w:val="PIP numbered"/>
    <w:basedOn w:val="Normal"/>
    <w:autoRedefine/>
    <w:qFormat/>
    <w:rsid w:val="00035A33"/>
    <w:pPr>
      <w:widowControl w:val="0"/>
      <w:numPr>
        <w:numId w:val="24"/>
      </w:numPr>
      <w:autoSpaceDE w:val="0"/>
      <w:autoSpaceDN w:val="0"/>
      <w:adjustRightInd w:val="0"/>
      <w:spacing w:after="240" w:line="288" w:lineRule="auto"/>
      <w:jc w:val="both"/>
    </w:pPr>
    <w:rPr>
      <w:rFonts w:eastAsia="Times New Roman" w:cs="BookAntiquaParliamentary"/>
      <w:szCs w:val="28"/>
      <w:lang w:eastAsia="en-GB"/>
    </w:rPr>
  </w:style>
  <w:style w:type="character" w:customStyle="1" w:styleId="DeltaViewInsertion">
    <w:name w:val="DeltaView Insertion"/>
    <w:uiPriority w:val="99"/>
    <w:rsid w:val="003B0519"/>
    <w:rPr>
      <w:color w:val="0000FF"/>
      <w:u w:val="double"/>
    </w:rPr>
  </w:style>
  <w:style w:type="character" w:customStyle="1" w:styleId="DeltaViewDeletion">
    <w:name w:val="DeltaView Deletion"/>
    <w:uiPriority w:val="99"/>
    <w:rsid w:val="003B0519"/>
    <w:rPr>
      <w:strike/>
      <w:color w:val="FF0000"/>
    </w:rPr>
  </w:style>
  <w:style w:type="table" w:customStyle="1" w:styleId="TableGrid7">
    <w:name w:val="Table Grid7"/>
    <w:basedOn w:val="TableNormal"/>
    <w:next w:val="TableGrid"/>
    <w:rsid w:val="00291F8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RFnumberedparaannex">
    <w:name w:val="RF numbered para annex"/>
    <w:basedOn w:val="RFnumberedpara"/>
    <w:autoRedefine/>
    <w:uiPriority w:val="99"/>
    <w:rsid w:val="00A472C7"/>
    <w:pPr>
      <w:numPr>
        <w:numId w:val="27"/>
      </w:numPr>
    </w:pPr>
  </w:style>
  <w:style w:type="paragraph" w:customStyle="1" w:styleId="OfSTOC1">
    <w:name w:val="OfS_TOC_1"/>
    <w:qFormat/>
    <w:rsid w:val="00601FCC"/>
    <w:pPr>
      <w:spacing w:before="240" w:after="120"/>
    </w:pPr>
    <w:rPr>
      <w:rFonts w:eastAsia="Times New Roman" w:cs="Calibri"/>
      <w:b/>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2482">
      <w:bodyDiv w:val="1"/>
      <w:marLeft w:val="0"/>
      <w:marRight w:val="0"/>
      <w:marTop w:val="0"/>
      <w:marBottom w:val="0"/>
      <w:divBdr>
        <w:top w:val="none" w:sz="0" w:space="0" w:color="auto"/>
        <w:left w:val="none" w:sz="0" w:space="0" w:color="auto"/>
        <w:bottom w:val="none" w:sz="0" w:space="0" w:color="auto"/>
        <w:right w:val="none" w:sz="0" w:space="0" w:color="auto"/>
      </w:divBdr>
    </w:div>
    <w:div w:id="548808080">
      <w:bodyDiv w:val="1"/>
      <w:marLeft w:val="0"/>
      <w:marRight w:val="0"/>
      <w:marTop w:val="0"/>
      <w:marBottom w:val="0"/>
      <w:divBdr>
        <w:top w:val="none" w:sz="0" w:space="0" w:color="auto"/>
        <w:left w:val="none" w:sz="0" w:space="0" w:color="auto"/>
        <w:bottom w:val="none" w:sz="0" w:space="0" w:color="auto"/>
        <w:right w:val="none" w:sz="0" w:space="0" w:color="auto"/>
      </w:divBdr>
    </w:div>
    <w:div w:id="549148454">
      <w:bodyDiv w:val="1"/>
      <w:marLeft w:val="0"/>
      <w:marRight w:val="0"/>
      <w:marTop w:val="0"/>
      <w:marBottom w:val="0"/>
      <w:divBdr>
        <w:top w:val="none" w:sz="0" w:space="0" w:color="auto"/>
        <w:left w:val="none" w:sz="0" w:space="0" w:color="auto"/>
        <w:bottom w:val="none" w:sz="0" w:space="0" w:color="auto"/>
        <w:right w:val="none" w:sz="0" w:space="0" w:color="auto"/>
      </w:divBdr>
    </w:div>
    <w:div w:id="633027706">
      <w:bodyDiv w:val="1"/>
      <w:marLeft w:val="0"/>
      <w:marRight w:val="0"/>
      <w:marTop w:val="0"/>
      <w:marBottom w:val="0"/>
      <w:divBdr>
        <w:top w:val="none" w:sz="0" w:space="0" w:color="auto"/>
        <w:left w:val="none" w:sz="0" w:space="0" w:color="auto"/>
        <w:bottom w:val="none" w:sz="0" w:space="0" w:color="auto"/>
        <w:right w:val="none" w:sz="0" w:space="0" w:color="auto"/>
      </w:divBdr>
    </w:div>
    <w:div w:id="757293696">
      <w:bodyDiv w:val="1"/>
      <w:marLeft w:val="0"/>
      <w:marRight w:val="0"/>
      <w:marTop w:val="0"/>
      <w:marBottom w:val="0"/>
      <w:divBdr>
        <w:top w:val="none" w:sz="0" w:space="0" w:color="auto"/>
        <w:left w:val="none" w:sz="0" w:space="0" w:color="auto"/>
        <w:bottom w:val="none" w:sz="0" w:space="0" w:color="auto"/>
        <w:right w:val="none" w:sz="0" w:space="0" w:color="auto"/>
      </w:divBdr>
    </w:div>
    <w:div w:id="1038890444">
      <w:bodyDiv w:val="1"/>
      <w:marLeft w:val="0"/>
      <w:marRight w:val="0"/>
      <w:marTop w:val="0"/>
      <w:marBottom w:val="0"/>
      <w:divBdr>
        <w:top w:val="none" w:sz="0" w:space="0" w:color="auto"/>
        <w:left w:val="none" w:sz="0" w:space="0" w:color="auto"/>
        <w:bottom w:val="none" w:sz="0" w:space="0" w:color="auto"/>
        <w:right w:val="none" w:sz="0" w:space="0" w:color="auto"/>
      </w:divBdr>
    </w:div>
    <w:div w:id="1095828241">
      <w:bodyDiv w:val="1"/>
      <w:marLeft w:val="0"/>
      <w:marRight w:val="0"/>
      <w:marTop w:val="0"/>
      <w:marBottom w:val="0"/>
      <w:divBdr>
        <w:top w:val="none" w:sz="0" w:space="0" w:color="auto"/>
        <w:left w:val="none" w:sz="0" w:space="0" w:color="auto"/>
        <w:bottom w:val="none" w:sz="0" w:space="0" w:color="auto"/>
        <w:right w:val="none" w:sz="0" w:space="0" w:color="auto"/>
      </w:divBdr>
    </w:div>
    <w:div w:id="1103384346">
      <w:bodyDiv w:val="1"/>
      <w:marLeft w:val="0"/>
      <w:marRight w:val="0"/>
      <w:marTop w:val="0"/>
      <w:marBottom w:val="0"/>
      <w:divBdr>
        <w:top w:val="none" w:sz="0" w:space="0" w:color="auto"/>
        <w:left w:val="none" w:sz="0" w:space="0" w:color="auto"/>
        <w:bottom w:val="none" w:sz="0" w:space="0" w:color="auto"/>
        <w:right w:val="none" w:sz="0" w:space="0" w:color="auto"/>
      </w:divBdr>
    </w:div>
    <w:div w:id="1138457725">
      <w:bodyDiv w:val="1"/>
      <w:marLeft w:val="0"/>
      <w:marRight w:val="0"/>
      <w:marTop w:val="0"/>
      <w:marBottom w:val="0"/>
      <w:divBdr>
        <w:top w:val="none" w:sz="0" w:space="0" w:color="auto"/>
        <w:left w:val="none" w:sz="0" w:space="0" w:color="auto"/>
        <w:bottom w:val="none" w:sz="0" w:space="0" w:color="auto"/>
        <w:right w:val="none" w:sz="0" w:space="0" w:color="auto"/>
      </w:divBdr>
    </w:div>
    <w:div w:id="1189836755">
      <w:bodyDiv w:val="1"/>
      <w:marLeft w:val="0"/>
      <w:marRight w:val="0"/>
      <w:marTop w:val="0"/>
      <w:marBottom w:val="0"/>
      <w:divBdr>
        <w:top w:val="none" w:sz="0" w:space="0" w:color="auto"/>
        <w:left w:val="none" w:sz="0" w:space="0" w:color="auto"/>
        <w:bottom w:val="none" w:sz="0" w:space="0" w:color="auto"/>
        <w:right w:val="none" w:sz="0" w:space="0" w:color="auto"/>
      </w:divBdr>
    </w:div>
    <w:div w:id="1288510744">
      <w:bodyDiv w:val="1"/>
      <w:marLeft w:val="0"/>
      <w:marRight w:val="0"/>
      <w:marTop w:val="0"/>
      <w:marBottom w:val="0"/>
      <w:divBdr>
        <w:top w:val="none" w:sz="0" w:space="0" w:color="auto"/>
        <w:left w:val="none" w:sz="0" w:space="0" w:color="auto"/>
        <w:bottom w:val="none" w:sz="0" w:space="0" w:color="auto"/>
        <w:right w:val="none" w:sz="0" w:space="0" w:color="auto"/>
      </w:divBdr>
    </w:div>
    <w:div w:id="1299532017">
      <w:bodyDiv w:val="1"/>
      <w:marLeft w:val="0"/>
      <w:marRight w:val="0"/>
      <w:marTop w:val="0"/>
      <w:marBottom w:val="0"/>
      <w:divBdr>
        <w:top w:val="none" w:sz="0" w:space="0" w:color="auto"/>
        <w:left w:val="none" w:sz="0" w:space="0" w:color="auto"/>
        <w:bottom w:val="none" w:sz="0" w:space="0" w:color="auto"/>
        <w:right w:val="none" w:sz="0" w:space="0" w:color="auto"/>
      </w:divBdr>
    </w:div>
    <w:div w:id="1510681155">
      <w:bodyDiv w:val="1"/>
      <w:marLeft w:val="0"/>
      <w:marRight w:val="0"/>
      <w:marTop w:val="0"/>
      <w:marBottom w:val="0"/>
      <w:divBdr>
        <w:top w:val="none" w:sz="0" w:space="0" w:color="auto"/>
        <w:left w:val="none" w:sz="0" w:space="0" w:color="auto"/>
        <w:bottom w:val="none" w:sz="0" w:space="0" w:color="auto"/>
        <w:right w:val="none" w:sz="0" w:space="0" w:color="auto"/>
      </w:divBdr>
    </w:div>
    <w:div w:id="1567455460">
      <w:bodyDiv w:val="1"/>
      <w:marLeft w:val="0"/>
      <w:marRight w:val="0"/>
      <w:marTop w:val="0"/>
      <w:marBottom w:val="0"/>
      <w:divBdr>
        <w:top w:val="none" w:sz="0" w:space="0" w:color="auto"/>
        <w:left w:val="none" w:sz="0" w:space="0" w:color="auto"/>
        <w:bottom w:val="none" w:sz="0" w:space="0" w:color="auto"/>
        <w:right w:val="none" w:sz="0" w:space="0" w:color="auto"/>
      </w:divBdr>
    </w:div>
    <w:div w:id="1611932001">
      <w:bodyDiv w:val="1"/>
      <w:marLeft w:val="0"/>
      <w:marRight w:val="0"/>
      <w:marTop w:val="0"/>
      <w:marBottom w:val="0"/>
      <w:divBdr>
        <w:top w:val="none" w:sz="0" w:space="0" w:color="auto"/>
        <w:left w:val="none" w:sz="0" w:space="0" w:color="auto"/>
        <w:bottom w:val="none" w:sz="0" w:space="0" w:color="auto"/>
        <w:right w:val="none" w:sz="0" w:space="0" w:color="auto"/>
      </w:divBdr>
    </w:div>
    <w:div w:id="1629162193">
      <w:bodyDiv w:val="1"/>
      <w:marLeft w:val="0"/>
      <w:marRight w:val="0"/>
      <w:marTop w:val="0"/>
      <w:marBottom w:val="0"/>
      <w:divBdr>
        <w:top w:val="none" w:sz="0" w:space="0" w:color="auto"/>
        <w:left w:val="none" w:sz="0" w:space="0" w:color="auto"/>
        <w:bottom w:val="none" w:sz="0" w:space="0" w:color="auto"/>
        <w:right w:val="none" w:sz="0" w:space="0" w:color="auto"/>
      </w:divBdr>
    </w:div>
    <w:div w:id="1630739727">
      <w:bodyDiv w:val="1"/>
      <w:marLeft w:val="0"/>
      <w:marRight w:val="0"/>
      <w:marTop w:val="0"/>
      <w:marBottom w:val="0"/>
      <w:divBdr>
        <w:top w:val="none" w:sz="0" w:space="0" w:color="auto"/>
        <w:left w:val="none" w:sz="0" w:space="0" w:color="auto"/>
        <w:bottom w:val="none" w:sz="0" w:space="0" w:color="auto"/>
        <w:right w:val="none" w:sz="0" w:space="0" w:color="auto"/>
      </w:divBdr>
    </w:div>
    <w:div w:id="1663198587">
      <w:bodyDiv w:val="1"/>
      <w:marLeft w:val="0"/>
      <w:marRight w:val="0"/>
      <w:marTop w:val="0"/>
      <w:marBottom w:val="0"/>
      <w:divBdr>
        <w:top w:val="none" w:sz="0" w:space="0" w:color="auto"/>
        <w:left w:val="none" w:sz="0" w:space="0" w:color="auto"/>
        <w:bottom w:val="none" w:sz="0" w:space="0" w:color="auto"/>
        <w:right w:val="none" w:sz="0" w:space="0" w:color="auto"/>
      </w:divBdr>
    </w:div>
    <w:div w:id="1847548146">
      <w:bodyDiv w:val="1"/>
      <w:marLeft w:val="0"/>
      <w:marRight w:val="0"/>
      <w:marTop w:val="0"/>
      <w:marBottom w:val="0"/>
      <w:divBdr>
        <w:top w:val="none" w:sz="0" w:space="0" w:color="auto"/>
        <w:left w:val="none" w:sz="0" w:space="0" w:color="auto"/>
        <w:bottom w:val="none" w:sz="0" w:space="0" w:color="auto"/>
        <w:right w:val="none" w:sz="0" w:space="0" w:color="auto"/>
      </w:divBdr>
    </w:div>
    <w:div w:id="1907371858">
      <w:bodyDiv w:val="1"/>
      <w:marLeft w:val="0"/>
      <w:marRight w:val="0"/>
      <w:marTop w:val="0"/>
      <w:marBottom w:val="0"/>
      <w:divBdr>
        <w:top w:val="none" w:sz="0" w:space="0" w:color="auto"/>
        <w:left w:val="none" w:sz="0" w:space="0" w:color="auto"/>
        <w:bottom w:val="none" w:sz="0" w:space="0" w:color="auto"/>
        <w:right w:val="none" w:sz="0" w:space="0" w:color="auto"/>
      </w:divBdr>
    </w:div>
    <w:div w:id="2034064854">
      <w:bodyDiv w:val="1"/>
      <w:marLeft w:val="0"/>
      <w:marRight w:val="0"/>
      <w:marTop w:val="0"/>
      <w:marBottom w:val="0"/>
      <w:divBdr>
        <w:top w:val="none" w:sz="0" w:space="0" w:color="auto"/>
        <w:left w:val="none" w:sz="0" w:space="0" w:color="auto"/>
        <w:bottom w:val="none" w:sz="0" w:space="0" w:color="auto"/>
        <w:right w:val="none" w:sz="0" w:space="0" w:color="auto"/>
      </w:divBdr>
    </w:div>
    <w:div w:id="2061051297">
      <w:bodyDiv w:val="1"/>
      <w:marLeft w:val="0"/>
      <w:marRight w:val="0"/>
      <w:marTop w:val="0"/>
      <w:marBottom w:val="0"/>
      <w:divBdr>
        <w:top w:val="none" w:sz="0" w:space="0" w:color="auto"/>
        <w:left w:val="none" w:sz="0" w:space="0" w:color="auto"/>
        <w:bottom w:val="none" w:sz="0" w:space="0" w:color="auto"/>
        <w:right w:val="none" w:sz="0" w:space="0" w:color="auto"/>
      </w:divBdr>
    </w:div>
    <w:div w:id="2064593494">
      <w:bodyDiv w:val="1"/>
      <w:marLeft w:val="0"/>
      <w:marRight w:val="0"/>
      <w:marTop w:val="0"/>
      <w:marBottom w:val="0"/>
      <w:divBdr>
        <w:top w:val="none" w:sz="0" w:space="0" w:color="auto"/>
        <w:left w:val="none" w:sz="0" w:space="0" w:color="auto"/>
        <w:bottom w:val="none" w:sz="0" w:space="0" w:color="auto"/>
        <w:right w:val="none" w:sz="0" w:space="0" w:color="auto"/>
      </w:divBdr>
    </w:div>
    <w:div w:id="213544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yalholloway.ac.uk/staff/teaching/aqpo/academic-regulations-and-policies/academic-policies/programme-closure-withdrawal-and-suspension.aspx" TargetMode="External"/><Relationship Id="rId13" Type="http://schemas.openxmlformats.org/officeDocument/2006/relationships/hyperlink" Target="mailto:Student-Fees@RoyalHolloway.ac.uk" TargetMode="External"/><Relationship Id="rId18" Type="http://schemas.openxmlformats.org/officeDocument/2006/relationships/hyperlink" Target="https://www.royalholloway.ac.uk/students/help-support/help-and-support.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yalholloway.ac.uk/studyhere/postgraduate/applying/admissionspolicy.aspx" TargetMode="External"/><Relationship Id="rId17" Type="http://schemas.openxmlformats.org/officeDocument/2006/relationships/hyperlink" Target="https://www.royalholloway.ac.uk/staff/teaching/aqpo/academic-regulations-and-policies/academic-policies/programme-closure-withdrawal-and-suspension.aspx" TargetMode="External"/><Relationship Id="rId2" Type="http://schemas.openxmlformats.org/officeDocument/2006/relationships/numbering" Target="numbering.xml"/><Relationship Id="rId16" Type="http://schemas.openxmlformats.org/officeDocument/2006/relationships/hyperlink" Target="https://www.royalholloway.ac.uk/students/home.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yalholloway.ac.uk/studyhere/undergraduate/applying/admissionspolicy.aspx" TargetMode="External"/><Relationship Id="rId5" Type="http://schemas.openxmlformats.org/officeDocument/2006/relationships/webSettings" Target="webSettings.xml"/><Relationship Id="rId15" Type="http://schemas.openxmlformats.org/officeDocument/2006/relationships/hyperlink" Target="https://www.royalholloway.ac.uk/studyhere/postgraduate/applying/admissionspolicy.aspx" TargetMode="External"/><Relationship Id="rId10" Type="http://schemas.openxmlformats.org/officeDocument/2006/relationships/hyperlink" Target="https://www.royalholloway.ac.uk/students/assets/docs/pdf/studentfeeregulations201718-april-2017.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oyalholloway.ac.uk/staff/teaching/aqpo/academic-regulations-and-policies/academic-policies/programme-closure-withdrawal-and-suspension.aspx" TargetMode="External"/><Relationship Id="rId14" Type="http://schemas.openxmlformats.org/officeDocument/2006/relationships/hyperlink" Target="https://www.royalholloway.ac.uk/studyhere/documents/pdf/federalloansrefundpolicyupdatedmay2015.pdf" TargetMode="External"/></Relationships>
</file>

<file path=word/theme/theme1.xml><?xml version="1.0" encoding="utf-8"?>
<a:theme xmlns:a="http://schemas.openxmlformats.org/drawingml/2006/main" name="Office Theme">
  <a:themeElements>
    <a:clrScheme name="Office for Students">
      <a:dk1>
        <a:sysClr val="windowText" lastClr="000000"/>
      </a:dk1>
      <a:lt1>
        <a:sysClr val="window" lastClr="FFFFFF"/>
      </a:lt1>
      <a:dk2>
        <a:srgbClr val="000000"/>
      </a:dk2>
      <a:lt2>
        <a:srgbClr val="FFFFFF"/>
      </a:lt2>
      <a:accent1>
        <a:srgbClr val="323157"/>
      </a:accent1>
      <a:accent2>
        <a:srgbClr val="FFCF01"/>
      </a:accent2>
      <a:accent3>
        <a:srgbClr val="22B893"/>
      </a:accent3>
      <a:accent4>
        <a:srgbClr val="F0565A"/>
      </a:accent4>
      <a:accent5>
        <a:srgbClr val="00AEEF"/>
      </a:accent5>
      <a:accent6>
        <a:srgbClr val="F47B20"/>
      </a:accent6>
      <a:hlink>
        <a:srgbClr val="323157"/>
      </a:hlink>
      <a:folHlink>
        <a:srgbClr val="32315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2DDC6-320B-48D6-9CAE-8A7E63DAC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2237</Words>
  <Characters>12751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OfS 2018.05 Annex D: Template for a student protection plan</vt:lpstr>
    </vt:vector>
  </TitlesOfParts>
  <Company>MOJ</Company>
  <LinksUpToDate>false</LinksUpToDate>
  <CharactersWithSpaces>14959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OfS 2018.05 Annex D: Template for a student protection plan</dc:title>
  <dc:subject/>
  <dc:creator>OfS</dc:creator>
  <cp:keywords/>
  <dc:description/>
  <cp:lastModifiedBy>Jones, Natasha</cp:lastModifiedBy>
  <cp:revision>5</cp:revision>
  <cp:lastPrinted>2018-04-17T08:02:00Z</cp:lastPrinted>
  <dcterms:created xsi:type="dcterms:W3CDTF">2018-08-08T07:43:00Z</dcterms:created>
  <dcterms:modified xsi:type="dcterms:W3CDTF">2018-08-24T13:45:00Z</dcterms:modified>
</cp:coreProperties>
</file>